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F5DD" w14:textId="3E34BA41" w:rsidR="00285B96" w:rsidRPr="00285B96" w:rsidRDefault="002533B3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85B96" w:rsidRPr="00285B96">
        <w:rPr>
          <w:rFonts w:asciiTheme="minorHAnsi" w:hAnsiTheme="minorHAnsi"/>
          <w:b/>
        </w:rPr>
        <w:t xml:space="preserve"> priedas</w:t>
      </w:r>
    </w:p>
    <w:p w14:paraId="65EEE245" w14:textId="77777777" w:rsidR="00285B96" w:rsidRPr="00285B96" w:rsidRDefault="00285B96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</w:p>
    <w:p w14:paraId="186B59BE" w14:textId="3F961B6F" w:rsidR="004901F6" w:rsidRPr="00285B96" w:rsidRDefault="002533B3" w:rsidP="002533B3">
      <w:pPr>
        <w:spacing w:after="0" w:line="240" w:lineRule="auto"/>
        <w:ind w:firstLine="5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="004901F6" w:rsidRPr="00285B96">
        <w:rPr>
          <w:rFonts w:asciiTheme="minorHAnsi" w:hAnsiTheme="minorHAnsi"/>
          <w:b/>
        </w:rPr>
        <w:t>AB „Amber Grid“</w:t>
      </w:r>
    </w:p>
    <w:p w14:paraId="695E9E58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caps/>
        </w:rPr>
      </w:pPr>
    </w:p>
    <w:p w14:paraId="6DED8B61" w14:textId="77777777" w:rsidR="004901F6" w:rsidRPr="00285B96" w:rsidRDefault="004901F6" w:rsidP="00874F60">
      <w:pPr>
        <w:spacing w:after="0" w:line="240" w:lineRule="auto"/>
        <w:ind w:firstLine="720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>bendrasis balsavimo biuletenis</w:t>
      </w:r>
    </w:p>
    <w:p w14:paraId="4D08FA47" w14:textId="37055A85" w:rsidR="004901F6" w:rsidRPr="00C67B3D" w:rsidRDefault="002533B3" w:rsidP="00874F60">
      <w:pPr>
        <w:spacing w:after="0" w:line="240" w:lineRule="auto"/>
        <w:jc w:val="center"/>
        <w:rPr>
          <w:rFonts w:asciiTheme="minorHAnsi" w:hAnsiTheme="minorHAnsi"/>
          <w:b/>
          <w:bCs/>
          <w:caps/>
        </w:rPr>
      </w:pPr>
      <w:r w:rsidRPr="00C67B3D">
        <w:rPr>
          <w:rFonts w:asciiTheme="minorHAnsi" w:hAnsiTheme="minorHAnsi"/>
          <w:b/>
          <w:bCs/>
          <w:caps/>
        </w:rPr>
        <w:t xml:space="preserve">             </w:t>
      </w:r>
      <w:r w:rsidR="004901F6" w:rsidRPr="00C67B3D">
        <w:rPr>
          <w:rFonts w:asciiTheme="minorHAnsi" w:hAnsiTheme="minorHAnsi"/>
          <w:b/>
          <w:bCs/>
          <w:caps/>
        </w:rPr>
        <w:t>201</w:t>
      </w:r>
      <w:r w:rsidR="00C67B3D" w:rsidRPr="00C67B3D">
        <w:rPr>
          <w:rFonts w:asciiTheme="minorHAnsi" w:hAnsiTheme="minorHAnsi"/>
          <w:b/>
          <w:bCs/>
          <w:caps/>
        </w:rPr>
        <w:t>9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2779AD">
        <w:rPr>
          <w:rFonts w:asciiTheme="minorHAnsi" w:hAnsiTheme="minorHAnsi"/>
          <w:b/>
          <w:bCs/>
          <w:caps/>
        </w:rPr>
        <w:t>12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EA65CB">
        <w:rPr>
          <w:rFonts w:asciiTheme="minorHAnsi" w:hAnsiTheme="minorHAnsi"/>
          <w:b/>
          <w:bCs/>
          <w:caps/>
        </w:rPr>
        <w:t>23</w:t>
      </w:r>
      <w:r w:rsidR="004901F6" w:rsidRPr="00C67B3D">
        <w:rPr>
          <w:rFonts w:asciiTheme="minorHAnsi" w:hAnsiTheme="minorHAnsi"/>
          <w:b/>
          <w:bCs/>
          <w:caps/>
        </w:rPr>
        <w:t xml:space="preserve"> visuotinis akcininkų susirinkimas</w:t>
      </w:r>
    </w:p>
    <w:p w14:paraId="6C766150" w14:textId="77777777" w:rsidR="004901F6" w:rsidRPr="00285B96" w:rsidRDefault="00874F60" w:rsidP="00874F60">
      <w:pPr>
        <w:spacing w:after="0" w:line="240" w:lineRule="auto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 xml:space="preserve">              </w:t>
      </w:r>
      <w:r w:rsidR="004901F6" w:rsidRPr="00285B96">
        <w:rPr>
          <w:rFonts w:asciiTheme="minorHAnsi" w:hAnsiTheme="minorHAnsi"/>
          <w:b/>
          <w:caps/>
        </w:rPr>
        <w:t>Akcininko duomenys</w:t>
      </w:r>
    </w:p>
    <w:p w14:paraId="14802D01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44B4B6B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pavadinimas:</w:t>
      </w:r>
    </w:p>
    <w:p w14:paraId="279909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3508DE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58F44F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kodas:</w:t>
      </w:r>
    </w:p>
    <w:p w14:paraId="5FA14241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4877A3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C2E1E8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Akcijų skaičius:</w:t>
      </w:r>
    </w:p>
    <w:p w14:paraId="3F6140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____________________________________________________________________________________________________________________</w:t>
      </w:r>
    </w:p>
    <w:p w14:paraId="11009355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5E20CB97" w14:textId="77777777" w:rsidR="003022C0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BALSAVIMAS</w:t>
      </w:r>
    </w:p>
    <w:p w14:paraId="2B2F4409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00464571" w14:textId="3087850C" w:rsidR="002779AD" w:rsidRPr="002779AD" w:rsidRDefault="002779AD" w:rsidP="002779AD">
      <w:pPr>
        <w:spacing w:after="60" w:line="240" w:lineRule="exact"/>
        <w:ind w:left="-425"/>
        <w:rPr>
          <w:rStyle w:val="FontStyle13"/>
          <w:rFonts w:ascii="Tahoma" w:hAnsi="Tahoma" w:cs="Tahoma"/>
          <w:i/>
          <w:iCs/>
        </w:rPr>
      </w:pPr>
      <w:r w:rsidRPr="002779AD">
        <w:rPr>
          <w:rStyle w:val="FontStyle13"/>
          <w:rFonts w:ascii="Tahoma" w:hAnsi="Tahoma" w:cs="Tahoma"/>
          <w:i/>
          <w:iCs/>
        </w:rPr>
        <w:t xml:space="preserve">       Prašome lentelėje pažymėti variantą, kurį pasirenkate: „UŽ“ ar „PRIEŠ“.</w:t>
      </w:r>
    </w:p>
    <w:p w14:paraId="228A5977" w14:textId="77777777" w:rsidR="002779AD" w:rsidRDefault="002779AD" w:rsidP="002779AD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765"/>
        <w:gridCol w:w="1275"/>
        <w:gridCol w:w="1134"/>
      </w:tblGrid>
      <w:tr w:rsidR="002779AD" w:rsidRPr="002779AD" w14:paraId="5B0A3C18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22E2A19F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Eil. Nr.</w:t>
            </w:r>
          </w:p>
        </w:tc>
        <w:tc>
          <w:tcPr>
            <w:tcW w:w="11765" w:type="dxa"/>
            <w:vAlign w:val="center"/>
          </w:tcPr>
          <w:p w14:paraId="6B5F129F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Procedūrinis klausimas</w:t>
            </w:r>
          </w:p>
        </w:tc>
        <w:tc>
          <w:tcPr>
            <w:tcW w:w="2409" w:type="dxa"/>
            <w:gridSpan w:val="2"/>
            <w:vAlign w:val="center"/>
          </w:tcPr>
          <w:p w14:paraId="395A5F63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Balsavimas</w:t>
            </w:r>
          </w:p>
        </w:tc>
      </w:tr>
      <w:tr w:rsidR="002779AD" w:rsidRPr="002779AD" w14:paraId="0AA8AE1E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32B04A79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3025D10F" w14:textId="4B483030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</w:rPr>
              <w:t xml:space="preserve">Visuotinio akcininkų susirinkimo pirmininku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2128535821"/>
                <w:placeholder>
                  <w:docPart w:val="A0A9B182666B4550927934F0A66C6448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Nemuną Biknių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5D202C4" w14:textId="77777777" w:rsidR="002779AD" w:rsidRPr="002779AD" w:rsidRDefault="007A0C08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54C0FCA2" w14:textId="77777777" w:rsidR="002779AD" w:rsidRPr="002779AD" w:rsidRDefault="007A0C08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  <w:tr w:rsidR="002779AD" w:rsidRPr="002779AD" w14:paraId="4B3AC817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042C7185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380BACC5" w14:textId="1CAD8EC6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</w:rPr>
            </w:pPr>
            <w:r w:rsidRPr="002779AD">
              <w:rPr>
                <w:rFonts w:asciiTheme="minorHAnsi" w:hAnsiTheme="minorHAnsi" w:cstheme="minorHAnsi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289126993"/>
                <w:placeholder>
                  <w:docPart w:val="CD0706927EA9460E9BBF7F32FFB786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Dovilę Juknevičiūtę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2EFD6E9" w14:textId="77777777" w:rsidR="002779AD" w:rsidRPr="002779AD" w:rsidRDefault="007A0C08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36147E37" w14:textId="77777777" w:rsidR="002779AD" w:rsidRPr="002779AD" w:rsidRDefault="007A0C08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  <w:tr w:rsidR="002779AD" w:rsidRPr="002779AD" w14:paraId="50A5BD8D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291AF878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0ABACC78" w14:textId="37B938C5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</w:rPr>
            </w:pPr>
            <w:r w:rsidRPr="002779AD">
              <w:rPr>
                <w:rFonts w:asciiTheme="minorHAnsi" w:hAnsiTheme="minorHAnsi" w:cstheme="minorHAnsi"/>
              </w:rPr>
              <w:t xml:space="preserve">Asmeniu, atsakingu už LR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3716109"/>
                <w:placeholder>
                  <w:docPart w:val="15399C1E21AC44EDA3815E3A461E454B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Dovilę </w:t>
                </w:r>
                <w:r w:rsidR="003B698A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Juknevičiūtę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B42C5E6" w14:textId="77777777" w:rsidR="002779AD" w:rsidRPr="002779AD" w:rsidRDefault="007A0C08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0BAEEC23" w14:textId="77777777" w:rsidR="002779AD" w:rsidRPr="002779AD" w:rsidRDefault="007A0C08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</w:tbl>
    <w:p w14:paraId="0165A4F7" w14:textId="77777777" w:rsidR="002779AD" w:rsidRDefault="002779AD" w:rsidP="002779AD">
      <w:pPr>
        <w:spacing w:after="60" w:line="240" w:lineRule="exact"/>
        <w:ind w:left="-425"/>
        <w:rPr>
          <w:rStyle w:val="FontStyle13"/>
        </w:rPr>
      </w:pPr>
    </w:p>
    <w:p w14:paraId="0E56DAD1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0B00D053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1CE54B11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4F51E17D" w14:textId="3944BBCC" w:rsidR="0091696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Prašome lentelėje</w:t>
      </w:r>
      <w:r w:rsidR="008B426A" w:rsidRPr="00285B96">
        <w:rPr>
          <w:rFonts w:asciiTheme="minorHAnsi" w:hAnsiTheme="minorHAnsi"/>
          <w:i/>
        </w:rPr>
        <w:t xml:space="preserve"> </w:t>
      </w:r>
      <w:r w:rsidR="00AA6E60" w:rsidRPr="00285B96">
        <w:rPr>
          <w:rFonts w:asciiTheme="minorHAnsi" w:hAnsiTheme="minorHAnsi"/>
          <w:i/>
        </w:rPr>
        <w:t>apskritimu apibrėžti variantą, kurį pasirenkate: „UŽ“ arba „PRIEŠ“</w:t>
      </w:r>
      <w:r w:rsidRPr="00285B96">
        <w:rPr>
          <w:rFonts w:asciiTheme="minorHAnsi" w:hAnsiTheme="minorHAnsi"/>
          <w:i/>
        </w:rPr>
        <w:t xml:space="preserve"> </w:t>
      </w:r>
    </w:p>
    <w:p w14:paraId="1344588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9049"/>
        <w:gridCol w:w="1132"/>
        <w:gridCol w:w="1133"/>
      </w:tblGrid>
      <w:tr w:rsidR="004901F6" w:rsidRPr="00285B96" w14:paraId="49110E78" w14:textId="77777777" w:rsidTr="008B5810">
        <w:trPr>
          <w:trHeight w:val="962"/>
        </w:trPr>
        <w:tc>
          <w:tcPr>
            <w:tcW w:w="421" w:type="dxa"/>
          </w:tcPr>
          <w:p w14:paraId="4005A80F" w14:textId="77777777" w:rsidR="004901F6" w:rsidRPr="00285B96" w:rsidRDefault="004901F6" w:rsidP="00542BB6">
            <w:pPr>
              <w:spacing w:after="0" w:line="240" w:lineRule="auto"/>
              <w:ind w:right="-334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Eil. Nr.</w:t>
            </w:r>
          </w:p>
        </w:tc>
        <w:tc>
          <w:tcPr>
            <w:tcW w:w="2976" w:type="dxa"/>
          </w:tcPr>
          <w:p w14:paraId="340D1FF1" w14:textId="77777777" w:rsidR="004901F6" w:rsidRPr="00285B96" w:rsidRDefault="004901F6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Darbotvarkės klausimas</w:t>
            </w:r>
          </w:p>
        </w:tc>
        <w:tc>
          <w:tcPr>
            <w:tcW w:w="9049" w:type="dxa"/>
          </w:tcPr>
          <w:p w14:paraId="768F27E1" w14:textId="77777777" w:rsidR="004901F6" w:rsidRPr="00285B96" w:rsidRDefault="004901F6" w:rsidP="00542BB6">
            <w:pPr>
              <w:spacing w:after="0" w:line="240" w:lineRule="auto"/>
              <w:ind w:right="72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Siūlomas sprendimo projektas</w:t>
            </w:r>
          </w:p>
        </w:tc>
        <w:tc>
          <w:tcPr>
            <w:tcW w:w="2265" w:type="dxa"/>
            <w:gridSpan w:val="2"/>
          </w:tcPr>
          <w:p w14:paraId="6CF9DFF1" w14:textId="77777777" w:rsidR="004901F6" w:rsidRPr="00285B96" w:rsidRDefault="004901F6" w:rsidP="0054198C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Akcininko valios išreiškimas</w:t>
            </w:r>
          </w:p>
        </w:tc>
      </w:tr>
      <w:tr w:rsidR="00B618ED" w:rsidRPr="00285B96" w14:paraId="4CACF51E" w14:textId="77777777" w:rsidTr="008B5810">
        <w:trPr>
          <w:trHeight w:val="613"/>
        </w:trPr>
        <w:tc>
          <w:tcPr>
            <w:tcW w:w="421" w:type="dxa"/>
          </w:tcPr>
          <w:p w14:paraId="2E64FD6B" w14:textId="77777777" w:rsidR="00B618ED" w:rsidRPr="00285B96" w:rsidRDefault="00B618ED" w:rsidP="00542BB6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 w:rsidRPr="00285B96">
              <w:rPr>
                <w:rFonts w:asciiTheme="minorHAnsi" w:hAnsiTheme="minorHAnsi"/>
              </w:rPr>
              <w:t>1.</w:t>
            </w:r>
          </w:p>
        </w:tc>
        <w:tc>
          <w:tcPr>
            <w:tcW w:w="2976" w:type="dxa"/>
          </w:tcPr>
          <w:p w14:paraId="735AB3F4" w14:textId="3A3CFE77" w:rsidR="00B618ED" w:rsidRPr="00FE00E1" w:rsidRDefault="005A01B7" w:rsidP="00FF13B1">
            <w:pPr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AB „Amber Grid“ įstatų keitimas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9049" w:type="dxa"/>
          </w:tcPr>
          <w:p w14:paraId="24253355" w14:textId="11BAF246" w:rsidR="005A01B7" w:rsidRPr="005A01B7" w:rsidRDefault="005A01B7" w:rsidP="005A01B7">
            <w:pPr>
              <w:tabs>
                <w:tab w:val="left" w:pos="425"/>
              </w:tabs>
              <w:spacing w:after="120"/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1.</w:t>
            </w:r>
            <w:r w:rsidRPr="005A01B7">
              <w:rPr>
                <w:rFonts w:asciiTheme="minorHAnsi" w:hAnsiTheme="minorHAnsi"/>
                <w:bCs/>
              </w:rPr>
              <w:tab/>
              <w:t>Patvirtinti naują AB „Amber Grid“ įstatų redakciją (pridedama).</w:t>
            </w:r>
          </w:p>
          <w:p w14:paraId="79B69FC8" w14:textId="3D77C429" w:rsidR="003022C0" w:rsidRPr="00FE00E1" w:rsidRDefault="005A01B7" w:rsidP="005A01B7">
            <w:pPr>
              <w:tabs>
                <w:tab w:val="left" w:pos="425"/>
              </w:tabs>
              <w:spacing w:after="120"/>
              <w:ind w:left="460" w:hanging="460"/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2.</w:t>
            </w:r>
            <w:r w:rsidRPr="005A01B7">
              <w:rPr>
                <w:rFonts w:asciiTheme="minorHAnsi" w:hAnsiTheme="minorHAnsi"/>
                <w:bCs/>
              </w:rPr>
              <w:tab/>
              <w:t>Įgalioti AB „Amber Grid“ l. e. p. generalinį direktorių Nemuną Biknių ar jo įgaliotą asmenį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A01B7">
              <w:rPr>
                <w:rFonts w:asciiTheme="minorHAnsi" w:hAnsiTheme="minorHAnsi"/>
                <w:bCs/>
              </w:rPr>
              <w:t>pasirašyti pakeistą AB „Amber Grid“ įstatų redakciją ir ją įregistruoti Juridinių asmenų registre.</w:t>
            </w:r>
          </w:p>
        </w:tc>
        <w:tc>
          <w:tcPr>
            <w:tcW w:w="1132" w:type="dxa"/>
          </w:tcPr>
          <w:p w14:paraId="61EBBD92" w14:textId="30671E2D" w:rsidR="002779AD" w:rsidRDefault="002779AD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2F8B506F" w14:textId="77777777" w:rsidR="005A01B7" w:rsidRDefault="005A01B7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5F9EF5D2" w14:textId="6B05207B" w:rsidR="00B618ED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E6397">
              <w:rPr>
                <w:rFonts w:asciiTheme="minorHAnsi" w:hAnsiTheme="minorHAnsi"/>
              </w:rPr>
              <w:t>„UŽ“</w:t>
            </w:r>
          </w:p>
        </w:tc>
        <w:tc>
          <w:tcPr>
            <w:tcW w:w="1133" w:type="dxa"/>
          </w:tcPr>
          <w:p w14:paraId="4D377E70" w14:textId="77777777" w:rsidR="00FE6397" w:rsidRDefault="00FE6397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73364476" w14:textId="77777777" w:rsidR="002779AD" w:rsidRDefault="002779AD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70497225" w14:textId="21093BAC" w:rsidR="008B426A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E6397">
              <w:rPr>
                <w:rFonts w:asciiTheme="minorHAnsi" w:hAnsiTheme="minorHAnsi"/>
              </w:rPr>
              <w:t>„PRIEŠ“</w:t>
            </w:r>
          </w:p>
        </w:tc>
      </w:tr>
      <w:tr w:rsidR="007A0C08" w:rsidRPr="00285B96" w14:paraId="33339396" w14:textId="77777777" w:rsidTr="008B5810">
        <w:trPr>
          <w:trHeight w:val="613"/>
        </w:trPr>
        <w:tc>
          <w:tcPr>
            <w:tcW w:w="421" w:type="dxa"/>
          </w:tcPr>
          <w:p w14:paraId="3583D40F" w14:textId="27D72FCA" w:rsidR="007A0C08" w:rsidRPr="00285B96" w:rsidRDefault="007A0C08" w:rsidP="00542BB6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976" w:type="dxa"/>
          </w:tcPr>
          <w:p w14:paraId="1D6B09A9" w14:textId="05AC9DAD" w:rsidR="007A0C08" w:rsidRPr="005A01B7" w:rsidRDefault="007A0C08" w:rsidP="00FF13B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</w:t>
            </w:r>
            <w:r w:rsidRPr="007A0C08">
              <w:rPr>
                <w:rFonts w:asciiTheme="minorHAnsi" w:hAnsiTheme="minorHAnsi"/>
                <w:bCs/>
              </w:rPr>
              <w:t>ritar</w:t>
            </w:r>
            <w:r>
              <w:rPr>
                <w:rFonts w:asciiTheme="minorHAnsi" w:hAnsiTheme="minorHAnsi"/>
                <w:bCs/>
              </w:rPr>
              <w:t>imas</w:t>
            </w:r>
            <w:r w:rsidRPr="007A0C08">
              <w:rPr>
                <w:rFonts w:asciiTheme="minorHAnsi" w:hAnsiTheme="minorHAnsi"/>
                <w:bCs/>
              </w:rPr>
              <w:t xml:space="preserve"> GIPL statybos darbų rangos prikimo sutarties sudarymui ir jos esminėms sąlygoms</w:t>
            </w:r>
          </w:p>
        </w:tc>
        <w:tc>
          <w:tcPr>
            <w:tcW w:w="9049" w:type="dxa"/>
          </w:tcPr>
          <w:p w14:paraId="2E5E5370" w14:textId="4A29AECB" w:rsidR="007A0C08" w:rsidRPr="005A01B7" w:rsidRDefault="007A0C08" w:rsidP="005A01B7">
            <w:pPr>
              <w:tabs>
                <w:tab w:val="left" w:pos="425"/>
              </w:tabs>
              <w:spacing w:after="120"/>
              <w:jc w:val="both"/>
              <w:rPr>
                <w:rFonts w:asciiTheme="minorHAnsi" w:hAnsiTheme="minorHAnsi"/>
                <w:bCs/>
              </w:rPr>
            </w:pPr>
            <w:r w:rsidRPr="007A0C08">
              <w:rPr>
                <w:rFonts w:asciiTheme="minorHAnsi" w:hAnsiTheme="minorHAnsi"/>
                <w:bCs/>
              </w:rPr>
              <w:t>Pritarti 2019 m. gruodžio 11 d. AB „</w:t>
            </w:r>
            <w:proofErr w:type="spellStart"/>
            <w:r w:rsidRPr="007A0C08">
              <w:rPr>
                <w:rFonts w:asciiTheme="minorHAnsi" w:hAnsiTheme="minorHAnsi"/>
                <w:bCs/>
              </w:rPr>
              <w:t>Amber</w:t>
            </w:r>
            <w:proofErr w:type="spellEnd"/>
            <w:r w:rsidRPr="007A0C0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A0C08">
              <w:rPr>
                <w:rFonts w:asciiTheme="minorHAnsi" w:hAnsiTheme="minorHAnsi"/>
                <w:bCs/>
              </w:rPr>
              <w:t>Grid</w:t>
            </w:r>
            <w:proofErr w:type="spellEnd"/>
            <w:r w:rsidRPr="007A0C08">
              <w:rPr>
                <w:rFonts w:asciiTheme="minorHAnsi" w:hAnsiTheme="minorHAnsi"/>
                <w:bCs/>
              </w:rPr>
              <w:t>“ valdybos sprendimui dėl dujotiekių jungties tarp Lietuvos ir Lenkijos (GIPL) statybos darbų rangos pirkimo sutarties sudarymo ir šio sandorio esminių sąlygų patvirtinimo (pridedamas).</w:t>
            </w:r>
          </w:p>
        </w:tc>
        <w:tc>
          <w:tcPr>
            <w:tcW w:w="1132" w:type="dxa"/>
          </w:tcPr>
          <w:p w14:paraId="4C3BEC13" w14:textId="77777777" w:rsidR="007A0C08" w:rsidRDefault="007A0C08" w:rsidP="007A0C08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7146588C" w14:textId="77777777" w:rsidR="007A0C08" w:rsidRDefault="007A0C08" w:rsidP="007A0C08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73B3CE9E" w14:textId="31DC7377" w:rsidR="007A0C08" w:rsidRDefault="007A0C08" w:rsidP="007A0C08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„UŽ“</w:t>
            </w:r>
          </w:p>
        </w:tc>
        <w:tc>
          <w:tcPr>
            <w:tcW w:w="1133" w:type="dxa"/>
          </w:tcPr>
          <w:p w14:paraId="04619217" w14:textId="77777777" w:rsidR="007A0C08" w:rsidRDefault="007A0C08" w:rsidP="007A0C08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3C107A02" w14:textId="77777777" w:rsidR="007A0C08" w:rsidRDefault="007A0C08" w:rsidP="007A0C08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540A88EB" w14:textId="2E2E2A10" w:rsidR="007A0C08" w:rsidRDefault="007A0C08" w:rsidP="007A0C08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„PRIEŠ“</w:t>
            </w:r>
          </w:p>
        </w:tc>
      </w:tr>
    </w:tbl>
    <w:p w14:paraId="318ED0FE" w14:textId="77777777" w:rsidR="008B426A" w:rsidRPr="00285B96" w:rsidRDefault="008B426A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</w:p>
    <w:p w14:paraId="4EF47E3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  <w:r w:rsidRPr="00285B96">
        <w:rPr>
          <w:rFonts w:asciiTheme="minorHAnsi" w:hAnsiTheme="minorHAnsi"/>
          <w:b/>
          <w:i/>
        </w:rPr>
        <w:t>Pastaba:</w:t>
      </w:r>
    </w:p>
    <w:p w14:paraId="149B9519" w14:textId="77777777" w:rsidR="004901F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Įstatymų nustatyta tvarka bendrajame balsavimo biuletenyje bus nurodyti visi iki bendrojo balsavimo biuletenio išsiuntimo dienos pasiūlytų sprendimų projektai, jei tokių bus gauta.</w:t>
      </w:r>
    </w:p>
    <w:p w14:paraId="2FB396A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p w14:paraId="17A6815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______________                                 ________________________________________________________________________________________</w:t>
      </w:r>
    </w:p>
    <w:p w14:paraId="69BBF0AB" w14:textId="1DBC161A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</w:rPr>
      </w:pPr>
      <w:r w:rsidRPr="00FF13B1">
        <w:rPr>
          <w:rFonts w:asciiTheme="minorHAnsi" w:hAnsiTheme="minorHAnsi"/>
          <w:i/>
          <w:sz w:val="18"/>
        </w:rPr>
        <w:t xml:space="preserve">     </w:t>
      </w:r>
      <w:r w:rsidR="00FF13B1">
        <w:rPr>
          <w:rFonts w:asciiTheme="minorHAnsi" w:hAnsiTheme="minorHAnsi"/>
          <w:i/>
          <w:sz w:val="18"/>
        </w:rPr>
        <w:t xml:space="preserve">       </w:t>
      </w:r>
      <w:r w:rsidRPr="00FF13B1">
        <w:rPr>
          <w:rFonts w:asciiTheme="minorHAnsi" w:hAnsiTheme="minorHAnsi"/>
          <w:i/>
          <w:sz w:val="18"/>
        </w:rPr>
        <w:t>Data</w:t>
      </w:r>
      <w:r w:rsidRPr="00FF13B1">
        <w:rPr>
          <w:rFonts w:asciiTheme="minorHAnsi" w:hAnsiTheme="minorHAnsi"/>
          <w:i/>
          <w:sz w:val="18"/>
        </w:rPr>
        <w:tab/>
      </w:r>
      <w:r w:rsidRPr="00285B96">
        <w:rPr>
          <w:rFonts w:asciiTheme="minorHAnsi" w:hAnsiTheme="minorHAnsi"/>
          <w:i/>
        </w:rPr>
        <w:tab/>
      </w:r>
      <w:r w:rsidRPr="00285B96">
        <w:rPr>
          <w:rFonts w:asciiTheme="minorHAnsi" w:hAnsiTheme="minorHAnsi"/>
          <w:i/>
        </w:rPr>
        <w:tab/>
      </w:r>
      <w:r w:rsidRPr="00FF13B1">
        <w:rPr>
          <w:rFonts w:asciiTheme="minorHAnsi" w:hAnsiTheme="minorHAnsi"/>
          <w:i/>
          <w:sz w:val="18"/>
        </w:rPr>
        <w:t>akcininko (ar kito asmens, turinčio teisę balsuoti jo akcijomis) vardas, pavardė, pareigos, parašas</w:t>
      </w:r>
    </w:p>
    <w:sectPr w:rsidR="004901F6" w:rsidRPr="00285B96" w:rsidSect="00FF13B1">
      <w:footerReference w:type="default" r:id="rId8"/>
      <w:pgSz w:w="16838" w:h="11906" w:orient="landscape"/>
      <w:pgMar w:top="993" w:right="1247" w:bottom="567" w:left="1134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3AE7" w14:textId="77777777" w:rsidR="00893C2F" w:rsidRDefault="00893C2F" w:rsidP="00EC2187">
      <w:pPr>
        <w:spacing w:after="0" w:line="240" w:lineRule="auto"/>
      </w:pPr>
      <w:r>
        <w:separator/>
      </w:r>
    </w:p>
  </w:endnote>
  <w:endnote w:type="continuationSeparator" w:id="0">
    <w:p w14:paraId="3DC43C58" w14:textId="77777777" w:rsidR="00893C2F" w:rsidRDefault="00893C2F" w:rsidP="00EC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F9E5" w14:textId="77777777" w:rsidR="00EC2187" w:rsidRPr="00FF13B1" w:rsidRDefault="00EC2187">
    <w:pPr>
      <w:pStyle w:val="Footer"/>
      <w:jc w:val="right"/>
      <w:rPr>
        <w:sz w:val="18"/>
        <w:szCs w:val="24"/>
      </w:rPr>
    </w:pPr>
    <w:r w:rsidRPr="00FF13B1">
      <w:rPr>
        <w:sz w:val="18"/>
        <w:szCs w:val="24"/>
      </w:rPr>
      <w:fldChar w:fldCharType="begin"/>
    </w:r>
    <w:r w:rsidRPr="00FF13B1">
      <w:rPr>
        <w:sz w:val="18"/>
        <w:szCs w:val="24"/>
      </w:rPr>
      <w:instrText xml:space="preserve"> PAGE   \* MERGEFORMAT </w:instrText>
    </w:r>
    <w:r w:rsidRPr="00FF13B1">
      <w:rPr>
        <w:sz w:val="18"/>
        <w:szCs w:val="24"/>
      </w:rPr>
      <w:fldChar w:fldCharType="separate"/>
    </w:r>
    <w:r w:rsidR="00285B96" w:rsidRPr="00FF13B1">
      <w:rPr>
        <w:noProof/>
        <w:sz w:val="18"/>
        <w:szCs w:val="24"/>
      </w:rPr>
      <w:t>1</w:t>
    </w:r>
    <w:r w:rsidRPr="00FF13B1">
      <w:rPr>
        <w:noProof/>
        <w:sz w:val="18"/>
        <w:szCs w:val="24"/>
      </w:rPr>
      <w:fldChar w:fldCharType="end"/>
    </w:r>
  </w:p>
  <w:p w14:paraId="767DBB9A" w14:textId="77777777" w:rsidR="00EC2187" w:rsidRDefault="00EC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601B" w14:textId="77777777" w:rsidR="00893C2F" w:rsidRDefault="00893C2F" w:rsidP="00EC2187">
      <w:pPr>
        <w:spacing w:after="0" w:line="240" w:lineRule="auto"/>
      </w:pPr>
      <w:r>
        <w:separator/>
      </w:r>
    </w:p>
  </w:footnote>
  <w:footnote w:type="continuationSeparator" w:id="0">
    <w:p w14:paraId="771C1FAF" w14:textId="77777777" w:rsidR="00893C2F" w:rsidRDefault="00893C2F" w:rsidP="00EC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08A"/>
    <w:multiLevelType w:val="hybridMultilevel"/>
    <w:tmpl w:val="A80429E6"/>
    <w:lvl w:ilvl="0" w:tplc="C3B0B86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722"/>
    <w:multiLevelType w:val="hybridMultilevel"/>
    <w:tmpl w:val="2890A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6F2E"/>
    <w:multiLevelType w:val="hybridMultilevel"/>
    <w:tmpl w:val="B096E59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F65"/>
    <w:multiLevelType w:val="hybridMultilevel"/>
    <w:tmpl w:val="9692F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503"/>
    <w:multiLevelType w:val="hybridMultilevel"/>
    <w:tmpl w:val="FB7C5BEC"/>
    <w:lvl w:ilvl="0" w:tplc="E3D883F6">
      <w:start w:val="1"/>
      <w:numFmt w:val="decimal"/>
      <w:lvlText w:val="%1."/>
      <w:lvlJc w:val="left"/>
      <w:pPr>
        <w:ind w:left="201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42FC0E09"/>
    <w:multiLevelType w:val="hybridMultilevel"/>
    <w:tmpl w:val="AFDE8BA4"/>
    <w:lvl w:ilvl="0" w:tplc="20CA5E4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A82E43"/>
    <w:multiLevelType w:val="hybridMultilevel"/>
    <w:tmpl w:val="DC5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0A64"/>
    <w:multiLevelType w:val="hybridMultilevel"/>
    <w:tmpl w:val="EDE4E212"/>
    <w:lvl w:ilvl="0" w:tplc="C16CED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44682B"/>
    <w:multiLevelType w:val="hybridMultilevel"/>
    <w:tmpl w:val="04D260A4"/>
    <w:lvl w:ilvl="0" w:tplc="A352FD0A">
      <w:start w:val="1"/>
      <w:numFmt w:val="decimal"/>
      <w:lvlText w:val="%1)"/>
      <w:lvlJc w:val="left"/>
      <w:pPr>
        <w:tabs>
          <w:tab w:val="num" w:pos="907"/>
        </w:tabs>
        <w:ind w:left="907" w:hanging="481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9958FF"/>
    <w:multiLevelType w:val="hybridMultilevel"/>
    <w:tmpl w:val="F498053A"/>
    <w:lvl w:ilvl="0" w:tplc="8AA42B6E">
      <w:start w:val="1"/>
      <w:numFmt w:val="decimal"/>
      <w:lvlText w:val="1.%1."/>
      <w:lvlJc w:val="right"/>
      <w:pPr>
        <w:ind w:left="705" w:hanging="360"/>
      </w:pPr>
      <w:rPr>
        <w:rFonts w:hint="default"/>
      </w:rPr>
    </w:lvl>
    <w:lvl w:ilvl="1" w:tplc="8AA42B6E">
      <w:start w:val="1"/>
      <w:numFmt w:val="decimal"/>
      <w:lvlText w:val="1.%2."/>
      <w:lvlJc w:val="right"/>
      <w:pPr>
        <w:ind w:left="142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6"/>
    <w:rsid w:val="000F2A3C"/>
    <w:rsid w:val="00161046"/>
    <w:rsid w:val="001D0ACB"/>
    <w:rsid w:val="001E22B8"/>
    <w:rsid w:val="0024336D"/>
    <w:rsid w:val="002533B3"/>
    <w:rsid w:val="002779AD"/>
    <w:rsid w:val="00285B96"/>
    <w:rsid w:val="003022C0"/>
    <w:rsid w:val="003739AA"/>
    <w:rsid w:val="003A12A1"/>
    <w:rsid w:val="003B698A"/>
    <w:rsid w:val="004522E5"/>
    <w:rsid w:val="004901F6"/>
    <w:rsid w:val="004F6E24"/>
    <w:rsid w:val="00530BDF"/>
    <w:rsid w:val="00532095"/>
    <w:rsid w:val="0054198C"/>
    <w:rsid w:val="00542BB6"/>
    <w:rsid w:val="0055027B"/>
    <w:rsid w:val="005A01B7"/>
    <w:rsid w:val="006532AC"/>
    <w:rsid w:val="006A209D"/>
    <w:rsid w:val="00741BE0"/>
    <w:rsid w:val="0077242E"/>
    <w:rsid w:val="00773527"/>
    <w:rsid w:val="00786333"/>
    <w:rsid w:val="007945AC"/>
    <w:rsid w:val="007A0C08"/>
    <w:rsid w:val="007E0809"/>
    <w:rsid w:val="007F68F2"/>
    <w:rsid w:val="008143D9"/>
    <w:rsid w:val="00833185"/>
    <w:rsid w:val="008379C8"/>
    <w:rsid w:val="00874F60"/>
    <w:rsid w:val="00893C2F"/>
    <w:rsid w:val="008A1F42"/>
    <w:rsid w:val="008B426A"/>
    <w:rsid w:val="008B5810"/>
    <w:rsid w:val="008E43D9"/>
    <w:rsid w:val="008F0E5D"/>
    <w:rsid w:val="008F2228"/>
    <w:rsid w:val="00916966"/>
    <w:rsid w:val="00991AA3"/>
    <w:rsid w:val="009D54E5"/>
    <w:rsid w:val="009E5D52"/>
    <w:rsid w:val="00A6310F"/>
    <w:rsid w:val="00A70AFF"/>
    <w:rsid w:val="00AA6E60"/>
    <w:rsid w:val="00AB0413"/>
    <w:rsid w:val="00AB29E1"/>
    <w:rsid w:val="00AE1DF6"/>
    <w:rsid w:val="00AF425E"/>
    <w:rsid w:val="00AF5A81"/>
    <w:rsid w:val="00B618ED"/>
    <w:rsid w:val="00C67B3D"/>
    <w:rsid w:val="00C87A6B"/>
    <w:rsid w:val="00CC6AD5"/>
    <w:rsid w:val="00D07D87"/>
    <w:rsid w:val="00D506C1"/>
    <w:rsid w:val="00EA65CB"/>
    <w:rsid w:val="00EC2187"/>
    <w:rsid w:val="00F05618"/>
    <w:rsid w:val="00F24E12"/>
    <w:rsid w:val="00F74455"/>
    <w:rsid w:val="00F75264"/>
    <w:rsid w:val="00FC219F"/>
    <w:rsid w:val="00FD5682"/>
    <w:rsid w:val="00FE00E1"/>
    <w:rsid w:val="00FE639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7F1D"/>
  <w15:docId w15:val="{6BDC20A0-4292-4A7A-95A4-DB29185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55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E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7242E"/>
    <w:rPr>
      <w:rFonts w:ascii="TimesLT" w:eastAsia="Times New Roman" w:hAnsi="TimesLT"/>
      <w:sz w:val="24"/>
      <w:lang w:val="lt-LT"/>
    </w:rPr>
  </w:style>
  <w:style w:type="paragraph" w:styleId="ListParagraph">
    <w:name w:val="List Paragraph"/>
    <w:basedOn w:val="Normal"/>
    <w:link w:val="ListParagraphChar"/>
    <w:qFormat/>
    <w:rsid w:val="004522E5"/>
    <w:pPr>
      <w:spacing w:after="0" w:line="240" w:lineRule="auto"/>
      <w:ind w:left="720"/>
      <w:contextualSpacing/>
    </w:pPr>
    <w:rPr>
      <w:rFonts w:ascii="TimesLT" w:eastAsia="Times New Roman" w:hAnsi="TimesLT"/>
      <w:sz w:val="24"/>
    </w:rPr>
  </w:style>
  <w:style w:type="paragraph" w:styleId="Header">
    <w:name w:val="header"/>
    <w:basedOn w:val="Normal"/>
    <w:link w:val="Head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C218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C2187"/>
    <w:rPr>
      <w:lang w:eastAsia="en-US"/>
    </w:rPr>
  </w:style>
  <w:style w:type="table" w:styleId="TableGrid">
    <w:name w:val="Table Grid"/>
    <w:basedOn w:val="TableNormal"/>
    <w:uiPriority w:val="59"/>
    <w:locked/>
    <w:rsid w:val="005502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rsid w:val="007F68F2"/>
    <w:rPr>
      <w:rFonts w:ascii="Times New Roman" w:eastAsia="Times New Roman" w:hAnsi="Times New Roman"/>
      <w:lang w:val="lt-LT" w:eastAsia="lt-L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2779AD"/>
    <w:rPr>
      <w:rFonts w:ascii="TimesLT" w:eastAsia="Times New Roman" w:hAnsi="TimesLT"/>
      <w:sz w:val="24"/>
      <w:szCs w:val="22"/>
      <w:lang w:val="lt-LT"/>
    </w:rPr>
  </w:style>
  <w:style w:type="character" w:customStyle="1" w:styleId="FontStyle13">
    <w:name w:val="Font Style13"/>
    <w:rsid w:val="002779AD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7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9B182666B4550927934F0A66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E8B1-DCE6-48D2-B616-9302CF8B160A}"/>
      </w:docPartPr>
      <w:docPartBody>
        <w:p w:rsidR="00442855" w:rsidRDefault="00CB06AA" w:rsidP="00CB06AA">
          <w:pPr>
            <w:pStyle w:val="A0A9B182666B4550927934F0A66C644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CD0706927EA9460E9BBF7F32FFB7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F999-B5AE-4BE8-BB70-C34DDB790C76}"/>
      </w:docPartPr>
      <w:docPartBody>
        <w:p w:rsidR="00442855" w:rsidRDefault="00CB06AA" w:rsidP="00CB06AA">
          <w:pPr>
            <w:pStyle w:val="CD0706927EA9460E9BBF7F32FFB786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15399C1E21AC44EDA3815E3A461E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E99E-C6D2-4A8B-84AA-4C93D496EB40}"/>
      </w:docPartPr>
      <w:docPartBody>
        <w:p w:rsidR="00442855" w:rsidRDefault="00CB06AA" w:rsidP="00CB06AA">
          <w:pPr>
            <w:pStyle w:val="15399C1E21AC44EDA3815E3A461E454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A"/>
    <w:rsid w:val="00442855"/>
    <w:rsid w:val="004B765D"/>
    <w:rsid w:val="00616B10"/>
    <w:rsid w:val="008D1CEA"/>
    <w:rsid w:val="00C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6AA"/>
    <w:rPr>
      <w:color w:val="808080"/>
    </w:rPr>
  </w:style>
  <w:style w:type="paragraph" w:customStyle="1" w:styleId="1371C8E031AE45B697817CC590306770">
    <w:name w:val="1371C8E031AE45B697817CC590306770"/>
    <w:rsid w:val="00CB06AA"/>
  </w:style>
  <w:style w:type="paragraph" w:customStyle="1" w:styleId="A54B0812FE844526BF51E1894B14C8D7">
    <w:name w:val="A54B0812FE844526BF51E1894B14C8D7"/>
    <w:rsid w:val="00CB06AA"/>
  </w:style>
  <w:style w:type="paragraph" w:customStyle="1" w:styleId="65FEFD6E60934872B3A48FD9040AF927">
    <w:name w:val="65FEFD6E60934872B3A48FD9040AF927"/>
    <w:rsid w:val="00CB06AA"/>
  </w:style>
  <w:style w:type="paragraph" w:customStyle="1" w:styleId="A0A9B182666B4550927934F0A66C6448">
    <w:name w:val="A0A9B182666B4550927934F0A66C6448"/>
    <w:rsid w:val="00CB06AA"/>
  </w:style>
  <w:style w:type="paragraph" w:customStyle="1" w:styleId="CD0706927EA9460E9BBF7F32FFB786D9">
    <w:name w:val="CD0706927EA9460E9BBF7F32FFB786D9"/>
    <w:rsid w:val="00CB06AA"/>
  </w:style>
  <w:style w:type="paragraph" w:customStyle="1" w:styleId="15399C1E21AC44EDA3815E3A461E454B">
    <w:name w:val="15399C1E21AC44EDA3815E3A461E454B"/>
    <w:rsid w:val="00CB0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282C-F8BE-484D-B9D7-6FE5A01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Čepulis</dc:creator>
  <cp:lastModifiedBy>Laura Šebekienė</cp:lastModifiedBy>
  <cp:revision>12</cp:revision>
  <dcterms:created xsi:type="dcterms:W3CDTF">2018-08-13T08:11:00Z</dcterms:created>
  <dcterms:modified xsi:type="dcterms:W3CDTF">2019-12-11T15:24:00Z</dcterms:modified>
</cp:coreProperties>
</file>