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9" w:rsidRPr="006131E2" w:rsidRDefault="008A5139" w:rsidP="008A5139">
      <w:pPr>
        <w:spacing w:before="100" w:beforeAutospacing="1" w:after="100" w:afterAutospacing="1"/>
        <w:rPr>
          <w:rFonts w:eastAsia="SimSun"/>
          <w:b/>
          <w:bCs/>
        </w:rPr>
      </w:pPr>
      <w:r w:rsidRPr="006131E2">
        <w:rPr>
          <w:b/>
          <w:noProof/>
        </w:rPr>
        <w:drawing>
          <wp:inline distT="0" distB="0" distL="0" distR="0" wp14:anchorId="6EA54FEA" wp14:editId="56F7C2DC">
            <wp:extent cx="1456947" cy="62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logo_blank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139" w:rsidRPr="006131E2" w:rsidRDefault="008A5139" w:rsidP="008A5139">
      <w:pPr>
        <w:spacing w:before="100" w:beforeAutospacing="1" w:after="100" w:afterAutospacing="1"/>
        <w:jc w:val="center"/>
        <w:rPr>
          <w:rFonts w:eastAsia="SimSun"/>
          <w:b/>
          <w:bCs/>
        </w:rPr>
      </w:pPr>
      <w:r w:rsidRPr="006131E2">
        <w:rPr>
          <w:rFonts w:eastAsia="SimSun"/>
          <w:b/>
          <w:bCs/>
        </w:rPr>
        <w:t>Pranešimas žiniasklaidai</w:t>
      </w:r>
    </w:p>
    <w:p w:rsidR="008A5139" w:rsidRPr="006131E2" w:rsidRDefault="008A5139" w:rsidP="008A5139">
      <w:pPr>
        <w:spacing w:before="100" w:beforeAutospacing="1" w:after="100" w:afterAutospacing="1"/>
        <w:jc w:val="right"/>
        <w:rPr>
          <w:rFonts w:eastAsia="SimSun"/>
          <w:bCs/>
        </w:rPr>
      </w:pPr>
      <w:r w:rsidRPr="006131E2">
        <w:rPr>
          <w:rFonts w:eastAsia="SimSun"/>
          <w:bCs/>
        </w:rPr>
        <w:t>201</w:t>
      </w:r>
      <w:r w:rsidR="00AB0F5B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 </w:t>
      </w:r>
      <w:r w:rsidR="005E4392">
        <w:rPr>
          <w:rFonts w:eastAsia="SimSun"/>
          <w:bCs/>
        </w:rPr>
        <w:t>gruodžio</w:t>
      </w:r>
      <w:r w:rsidR="00BD4393" w:rsidRPr="006131E2">
        <w:rPr>
          <w:rFonts w:eastAsia="SimSun"/>
          <w:bCs/>
        </w:rPr>
        <w:t xml:space="preserve"> </w:t>
      </w:r>
      <w:r w:rsidR="0009042E" w:rsidRPr="00903FD4">
        <w:rPr>
          <w:rFonts w:eastAsia="SimSun"/>
          <w:bCs/>
        </w:rPr>
        <w:t>2</w:t>
      </w:r>
      <w:r w:rsidR="005E4392" w:rsidRPr="00903FD4">
        <w:rPr>
          <w:rFonts w:eastAsia="SimSun"/>
          <w:bCs/>
        </w:rPr>
        <w:t>2</w:t>
      </w:r>
      <w:r w:rsidRPr="006131E2">
        <w:rPr>
          <w:rFonts w:eastAsia="SimSun"/>
          <w:bCs/>
        </w:rPr>
        <w:t xml:space="preserve"> d.</w:t>
      </w:r>
    </w:p>
    <w:p w:rsidR="0009042E" w:rsidRDefault="0009042E" w:rsidP="0009042E">
      <w:pPr>
        <w:jc w:val="center"/>
        <w:rPr>
          <w:b/>
        </w:rPr>
      </w:pPr>
      <w:r w:rsidRPr="00373C08">
        <w:rPr>
          <w:b/>
        </w:rPr>
        <w:t>AB „</w:t>
      </w:r>
      <w:proofErr w:type="spellStart"/>
      <w:r w:rsidRPr="00373C08">
        <w:rPr>
          <w:b/>
        </w:rPr>
        <w:t>Amber</w:t>
      </w:r>
      <w:proofErr w:type="spellEnd"/>
      <w:r w:rsidRPr="00373C08">
        <w:rPr>
          <w:b/>
        </w:rPr>
        <w:t xml:space="preserve"> </w:t>
      </w:r>
      <w:proofErr w:type="spellStart"/>
      <w:r w:rsidRPr="00373C08">
        <w:rPr>
          <w:b/>
        </w:rPr>
        <w:t>Grid</w:t>
      </w:r>
      <w:proofErr w:type="spellEnd"/>
      <w:r w:rsidRPr="00373C08">
        <w:rPr>
          <w:b/>
        </w:rPr>
        <w:t xml:space="preserve">“ valdyba nustatė </w:t>
      </w:r>
      <w:r w:rsidR="001A3B73">
        <w:rPr>
          <w:b/>
        </w:rPr>
        <w:t xml:space="preserve">trinares </w:t>
      </w:r>
      <w:r>
        <w:rPr>
          <w:b/>
        </w:rPr>
        <w:t xml:space="preserve">2016 metų </w:t>
      </w:r>
      <w:r w:rsidRPr="00373C08">
        <w:rPr>
          <w:b/>
        </w:rPr>
        <w:t xml:space="preserve">gamtinių </w:t>
      </w:r>
      <w:r>
        <w:rPr>
          <w:b/>
        </w:rPr>
        <w:t>dujų perdavimo paslaugų kainas</w:t>
      </w:r>
    </w:p>
    <w:p w:rsidR="0009042E" w:rsidRDefault="00FC43C2" w:rsidP="0009042E">
      <w:pPr>
        <w:jc w:val="both"/>
      </w:pPr>
      <w:r>
        <w:rPr>
          <w:szCs w:val="24"/>
        </w:rPr>
        <w:t xml:space="preserve">Siekiant didinti patiriamų </w:t>
      </w:r>
      <w:r w:rsidR="003178F3">
        <w:rPr>
          <w:szCs w:val="24"/>
        </w:rPr>
        <w:t xml:space="preserve">perdavimo paslaugų </w:t>
      </w:r>
      <w:r>
        <w:rPr>
          <w:szCs w:val="24"/>
        </w:rPr>
        <w:t>sąnaudų, gaunam</w:t>
      </w:r>
      <w:r w:rsidR="003178F3">
        <w:rPr>
          <w:szCs w:val="24"/>
        </w:rPr>
        <w:t>os naudos ir apmokėjimo už paslaugas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sąsajumą</w:t>
      </w:r>
      <w:proofErr w:type="spellEnd"/>
      <w:r>
        <w:rPr>
          <w:szCs w:val="24"/>
        </w:rPr>
        <w:t xml:space="preserve"> bei </w:t>
      </w:r>
      <w:r w:rsidR="003178F3">
        <w:rPr>
          <w:szCs w:val="24"/>
        </w:rPr>
        <w:t>a</w:t>
      </w:r>
      <w:r w:rsidR="001A3B73" w:rsidRPr="009F660B">
        <w:rPr>
          <w:szCs w:val="24"/>
        </w:rPr>
        <w:t>tsižvelg</w:t>
      </w:r>
      <w:r w:rsidR="001A3B73">
        <w:rPr>
          <w:szCs w:val="24"/>
        </w:rPr>
        <w:t>iant</w:t>
      </w:r>
      <w:r w:rsidR="001A3B73" w:rsidRPr="009F660B">
        <w:rPr>
          <w:szCs w:val="24"/>
        </w:rPr>
        <w:t xml:space="preserve"> į tai, kad pagal Valstybinės kainų ir energetikos kontrolės komisijos (toliau – Komisija) </w:t>
      </w:r>
      <w:r w:rsidR="001A3B73">
        <w:rPr>
          <w:szCs w:val="24"/>
        </w:rPr>
        <w:t xml:space="preserve">2015 m. gruodžio 17 d. </w:t>
      </w:r>
      <w:r w:rsidR="001A3B73" w:rsidRPr="009F660B">
        <w:rPr>
          <w:szCs w:val="24"/>
        </w:rPr>
        <w:t xml:space="preserve">pakeistą </w:t>
      </w:r>
      <w:r w:rsidR="001A3B73" w:rsidRPr="009F660B">
        <w:rPr>
          <w:bCs/>
          <w:szCs w:val="24"/>
        </w:rPr>
        <w:t>Valstybės reguliuojamų kainų gamtinių dujų sektoriuje nustatymo metodiką atsirado galimybė taikyti</w:t>
      </w:r>
      <w:r w:rsidR="001A3B73" w:rsidRPr="009F660B">
        <w:rPr>
          <w:szCs w:val="24"/>
        </w:rPr>
        <w:t xml:space="preserve"> trinarę perdavimo paslaugų kainą</w:t>
      </w:r>
      <w:r w:rsidR="001A3B73">
        <w:rPr>
          <w:szCs w:val="24"/>
        </w:rPr>
        <w:t>,</w:t>
      </w:r>
      <w:r w:rsidR="001A3B73" w:rsidRPr="009F660B">
        <w:rPr>
          <w:szCs w:val="24"/>
        </w:rPr>
        <w:t xml:space="preserve"> nustatant ir kainą už vartojimo pajėgumus, </w:t>
      </w:r>
      <w:r w:rsidR="0009042E">
        <w:t>AB „</w:t>
      </w:r>
      <w:proofErr w:type="spellStart"/>
      <w:r w:rsidR="0009042E">
        <w:t>Amber</w:t>
      </w:r>
      <w:proofErr w:type="spellEnd"/>
      <w:r w:rsidR="0009042E">
        <w:t xml:space="preserve"> </w:t>
      </w:r>
      <w:proofErr w:type="spellStart"/>
      <w:r w:rsidR="0009042E">
        <w:t>Grid</w:t>
      </w:r>
      <w:proofErr w:type="spellEnd"/>
      <w:r w:rsidR="0009042E">
        <w:t>“ valdyba</w:t>
      </w:r>
      <w:r w:rsidR="001A3B73">
        <w:t xml:space="preserve"> </w:t>
      </w:r>
      <w:r w:rsidR="0009042E">
        <w:t>2015 m</w:t>
      </w:r>
      <w:r w:rsidR="001A3B73">
        <w:t>. gruodžio</w:t>
      </w:r>
      <w:r w:rsidR="0009042E">
        <w:t xml:space="preserve"> </w:t>
      </w:r>
      <w:r w:rsidR="001A3B73">
        <w:t>21</w:t>
      </w:r>
      <w:r w:rsidR="0009042E">
        <w:t xml:space="preserve"> d. priėmė sprendimą dėl </w:t>
      </w:r>
      <w:r w:rsidR="001A3B73">
        <w:t xml:space="preserve">trinarių </w:t>
      </w:r>
      <w:r w:rsidR="0009042E">
        <w:t xml:space="preserve">gamtinių dujų perdavimo paslaugų kainų, galiosiančių nuo 2016 m. sausio 1 d. Šiam sprendimui </w:t>
      </w:r>
      <w:r w:rsidR="001A3B73">
        <w:t xml:space="preserve">2015 m. gruodžio 22 d. </w:t>
      </w:r>
      <w:r w:rsidR="0009042E">
        <w:t xml:space="preserve"> pritar</w:t>
      </w:r>
      <w:r w:rsidR="001A3B73">
        <w:t>ė</w:t>
      </w:r>
      <w:r w:rsidR="0009042E">
        <w:t xml:space="preserve"> Komisija.</w:t>
      </w:r>
    </w:p>
    <w:p w:rsidR="003B6077" w:rsidRDefault="00A07169" w:rsidP="006F70DD">
      <w:pPr>
        <w:spacing w:after="120"/>
        <w:rPr>
          <w:rFonts w:eastAsia="SimSun" w:cs="Arial"/>
          <w:szCs w:val="24"/>
          <w:lang w:eastAsia="zh-CN"/>
        </w:rPr>
      </w:pPr>
      <w:r>
        <w:rPr>
          <w:rFonts w:eastAsia="Times New Roman"/>
          <w:szCs w:val="24"/>
        </w:rPr>
        <w:t>L</w:t>
      </w:r>
      <w:r w:rsidR="003B6077">
        <w:rPr>
          <w:rFonts w:eastAsia="Times New Roman"/>
          <w:szCs w:val="24"/>
        </w:rPr>
        <w:t xml:space="preserve">yginant su </w:t>
      </w:r>
      <w:r w:rsidR="003B6077">
        <w:rPr>
          <w:szCs w:val="24"/>
        </w:rPr>
        <w:t>V</w:t>
      </w:r>
      <w:r w:rsidR="003B6077" w:rsidRPr="0024458F">
        <w:rPr>
          <w:szCs w:val="24"/>
        </w:rPr>
        <w:t>aldybos 2015 m. lapkričio 19 d. protokolu Nr. 13 nustatytomis ir Komisij</w:t>
      </w:r>
      <w:r w:rsidR="003B6077">
        <w:rPr>
          <w:szCs w:val="24"/>
        </w:rPr>
        <w:t>os</w:t>
      </w:r>
      <w:r w:rsidR="003B6077" w:rsidRPr="0024458F">
        <w:rPr>
          <w:szCs w:val="24"/>
        </w:rPr>
        <w:t xml:space="preserve"> 2015 m. lapkričio 25 d. nutarimu Nr. O3-609 patvirtintomis</w:t>
      </w:r>
      <w:r w:rsidR="003B6077">
        <w:rPr>
          <w:szCs w:val="24"/>
        </w:rPr>
        <w:t xml:space="preserve"> kainomis, </w:t>
      </w:r>
      <w:r>
        <w:rPr>
          <w:szCs w:val="24"/>
        </w:rPr>
        <w:t xml:space="preserve">patvirtintos naujos kainos, </w:t>
      </w:r>
      <w:r w:rsidR="003B6077" w:rsidRPr="00CB76C4">
        <w:rPr>
          <w:rFonts w:eastAsia="SimSun" w:cs="Arial"/>
          <w:bCs/>
          <w:szCs w:val="24"/>
          <w:lang w:eastAsia="zh-CN"/>
        </w:rPr>
        <w:t>taikytinos perdavimo sistemos vidiniame išleidimo taške</w:t>
      </w:r>
      <w:r w:rsidR="00FC43C2">
        <w:rPr>
          <w:rFonts w:eastAsia="SimSun" w:cs="Arial"/>
          <w:bCs/>
          <w:szCs w:val="24"/>
          <w:lang w:eastAsia="zh-CN"/>
        </w:rPr>
        <w:t>,</w:t>
      </w:r>
      <w:r w:rsidR="003B6077">
        <w:rPr>
          <w:rFonts w:eastAsia="SimSun" w:cs="Arial"/>
          <w:szCs w:val="24"/>
          <w:lang w:eastAsia="zh-CN"/>
        </w:rPr>
        <w:t xml:space="preserve"> nustatant trinarę kainą:</w:t>
      </w:r>
    </w:p>
    <w:p w:rsidR="003B6077" w:rsidRDefault="006F70DD" w:rsidP="003B6077">
      <w:pPr>
        <w:numPr>
          <w:ilvl w:val="0"/>
          <w:numId w:val="2"/>
        </w:numPr>
        <w:spacing w:after="0"/>
        <w:ind w:left="1077" w:hanging="357"/>
        <w:jc w:val="both"/>
        <w:rPr>
          <w:rFonts w:eastAsia="SimSun" w:cs="Arial"/>
          <w:szCs w:val="24"/>
          <w:lang w:eastAsia="zh-CN"/>
        </w:rPr>
      </w:pPr>
      <w:r>
        <w:rPr>
          <w:rFonts w:eastAsia="SimSun" w:cs="Arial"/>
          <w:szCs w:val="24"/>
          <w:lang w:eastAsia="zh-CN"/>
        </w:rPr>
        <w:t xml:space="preserve">kaina </w:t>
      </w:r>
      <w:r w:rsidR="003B6077">
        <w:rPr>
          <w:rFonts w:eastAsia="SimSun" w:cs="Arial"/>
          <w:szCs w:val="24"/>
          <w:lang w:eastAsia="zh-CN"/>
        </w:rPr>
        <w:t>už užsakomus</w:t>
      </w:r>
      <w:r w:rsidR="00FC43C2">
        <w:rPr>
          <w:rFonts w:eastAsia="SimSun" w:cs="Arial"/>
          <w:szCs w:val="24"/>
          <w:lang w:eastAsia="zh-CN"/>
        </w:rPr>
        <w:t xml:space="preserve"> perdavimo</w:t>
      </w:r>
      <w:r w:rsidR="003B6077">
        <w:rPr>
          <w:rFonts w:eastAsia="SimSun" w:cs="Arial"/>
          <w:szCs w:val="24"/>
          <w:lang w:eastAsia="zh-CN"/>
        </w:rPr>
        <w:t xml:space="preserve"> pajėgumus;</w:t>
      </w:r>
    </w:p>
    <w:p w:rsidR="003B6077" w:rsidRDefault="006F70DD" w:rsidP="003B6077">
      <w:pPr>
        <w:numPr>
          <w:ilvl w:val="0"/>
          <w:numId w:val="2"/>
        </w:numPr>
        <w:spacing w:after="0"/>
        <w:ind w:left="1077" w:hanging="357"/>
        <w:jc w:val="both"/>
        <w:rPr>
          <w:rFonts w:eastAsia="SimSun" w:cs="Arial"/>
          <w:szCs w:val="24"/>
          <w:lang w:eastAsia="zh-CN"/>
        </w:rPr>
      </w:pPr>
      <w:r>
        <w:rPr>
          <w:rFonts w:eastAsia="SimSun" w:cs="Arial"/>
          <w:szCs w:val="24"/>
          <w:lang w:eastAsia="zh-CN"/>
        </w:rPr>
        <w:t xml:space="preserve">kaina </w:t>
      </w:r>
      <w:r w:rsidR="003B6077">
        <w:rPr>
          <w:rFonts w:eastAsia="SimSun" w:cs="Arial"/>
          <w:szCs w:val="24"/>
          <w:lang w:eastAsia="zh-CN"/>
        </w:rPr>
        <w:t>už nustatytus vartojimo pajėgumus</w:t>
      </w:r>
      <w:r w:rsidR="00A07169">
        <w:rPr>
          <w:rFonts w:eastAsia="SimSun" w:cs="Arial"/>
          <w:szCs w:val="24"/>
          <w:lang w:eastAsia="zh-CN"/>
        </w:rPr>
        <w:t xml:space="preserve"> (nauja</w:t>
      </w:r>
      <w:r w:rsidR="00FC43C2">
        <w:rPr>
          <w:rFonts w:eastAsia="SimSun" w:cs="Arial"/>
          <w:szCs w:val="24"/>
          <w:lang w:eastAsia="zh-CN"/>
        </w:rPr>
        <w:t xml:space="preserve"> kainos dedamoji</w:t>
      </w:r>
      <w:r w:rsidR="00A07169">
        <w:rPr>
          <w:rFonts w:eastAsia="SimSun" w:cs="Arial"/>
          <w:szCs w:val="24"/>
          <w:lang w:eastAsia="zh-CN"/>
        </w:rPr>
        <w:t>)</w:t>
      </w:r>
      <w:r w:rsidR="003B6077">
        <w:rPr>
          <w:rFonts w:eastAsia="SimSun" w:cs="Arial"/>
          <w:szCs w:val="24"/>
          <w:lang w:eastAsia="zh-CN"/>
        </w:rPr>
        <w:t>;</w:t>
      </w:r>
    </w:p>
    <w:p w:rsidR="003B6077" w:rsidRDefault="006F70DD" w:rsidP="003B6077">
      <w:pPr>
        <w:numPr>
          <w:ilvl w:val="0"/>
          <w:numId w:val="2"/>
        </w:numPr>
        <w:spacing w:after="120"/>
        <w:ind w:left="1077" w:hanging="357"/>
        <w:jc w:val="both"/>
        <w:rPr>
          <w:rFonts w:eastAsia="SimSun" w:cs="Arial"/>
          <w:szCs w:val="24"/>
          <w:lang w:eastAsia="zh-CN"/>
        </w:rPr>
      </w:pPr>
      <w:r>
        <w:rPr>
          <w:rFonts w:eastAsia="SimSun" w:cs="Arial"/>
          <w:szCs w:val="24"/>
          <w:lang w:eastAsia="zh-CN"/>
        </w:rPr>
        <w:t xml:space="preserve">kaina </w:t>
      </w:r>
      <w:r w:rsidR="003B6077">
        <w:rPr>
          <w:rFonts w:eastAsia="SimSun" w:cs="Arial"/>
          <w:szCs w:val="24"/>
          <w:lang w:eastAsia="zh-CN"/>
        </w:rPr>
        <w:t>už perduodamą kiekį.</w:t>
      </w:r>
    </w:p>
    <w:p w:rsidR="003178F3" w:rsidRDefault="003178F3" w:rsidP="006F70DD">
      <w:pPr>
        <w:rPr>
          <w:rFonts w:eastAsia="SimSun" w:cs="Arial"/>
          <w:szCs w:val="24"/>
          <w:lang w:eastAsia="zh-CN"/>
        </w:rPr>
      </w:pPr>
      <w:r>
        <w:rPr>
          <w:rFonts w:eastAsia="SimSun" w:cs="Arial"/>
          <w:szCs w:val="24"/>
          <w:lang w:eastAsia="zh-CN"/>
        </w:rPr>
        <w:t>Taip pat vidinio išleidimo taško kainos ir jų diferencijavimas patikslintas pagal turimą naujausią informaciją apie užsakomus pajėgumus bei faktinį pajėgumų panaudojimą.</w:t>
      </w:r>
    </w:p>
    <w:p w:rsidR="003B6077" w:rsidRPr="003B6077" w:rsidRDefault="003B6077" w:rsidP="006F70DD">
      <w:pPr>
        <w:rPr>
          <w:rFonts w:eastAsia="SimSun" w:cs="Arial"/>
          <w:szCs w:val="24"/>
          <w:lang w:eastAsia="zh-CN"/>
        </w:rPr>
      </w:pPr>
      <w:r w:rsidRPr="003B6077">
        <w:rPr>
          <w:rFonts w:eastAsia="SimSun" w:cs="Arial"/>
          <w:szCs w:val="24"/>
          <w:lang w:eastAsia="zh-CN"/>
        </w:rPr>
        <w:t>Kituose įleidimo ir išleidimo taškuose</w:t>
      </w:r>
      <w:r w:rsidR="00FC43C2">
        <w:rPr>
          <w:rFonts w:eastAsia="SimSun" w:cs="Arial"/>
          <w:szCs w:val="24"/>
          <w:lang w:eastAsia="zh-CN"/>
        </w:rPr>
        <w:t xml:space="preserve"> 2016 m.</w:t>
      </w:r>
      <w:r w:rsidRPr="003B6077">
        <w:rPr>
          <w:rFonts w:eastAsia="SimSun" w:cs="Arial"/>
          <w:szCs w:val="24"/>
          <w:lang w:eastAsia="zh-CN"/>
        </w:rPr>
        <w:t xml:space="preserve"> kainos yra lygios 2015</w:t>
      </w:r>
      <w:r>
        <w:rPr>
          <w:rFonts w:eastAsia="SimSun" w:cs="Arial"/>
          <w:szCs w:val="24"/>
          <w:lang w:eastAsia="zh-CN"/>
        </w:rPr>
        <w:t xml:space="preserve"> m. lapkričio mėnesį</w:t>
      </w:r>
      <w:r w:rsidRPr="003B6077">
        <w:rPr>
          <w:rFonts w:eastAsia="SimSun" w:cs="Arial"/>
          <w:szCs w:val="24"/>
          <w:lang w:eastAsia="zh-CN"/>
        </w:rPr>
        <w:t xml:space="preserve"> </w:t>
      </w:r>
      <w:r w:rsidR="003178F3">
        <w:rPr>
          <w:rFonts w:eastAsia="SimSun" w:cs="Arial"/>
          <w:szCs w:val="24"/>
          <w:lang w:eastAsia="zh-CN"/>
        </w:rPr>
        <w:t>nustatytoms</w:t>
      </w:r>
      <w:r w:rsidR="003178F3" w:rsidRPr="003B6077">
        <w:rPr>
          <w:rFonts w:eastAsia="SimSun" w:cs="Arial"/>
          <w:szCs w:val="24"/>
          <w:lang w:eastAsia="zh-CN"/>
        </w:rPr>
        <w:t xml:space="preserve"> </w:t>
      </w:r>
      <w:r w:rsidRPr="003B6077">
        <w:rPr>
          <w:rFonts w:eastAsia="SimSun" w:cs="Arial"/>
          <w:szCs w:val="24"/>
          <w:lang w:eastAsia="zh-CN"/>
        </w:rPr>
        <w:t>kainoms.</w:t>
      </w:r>
    </w:p>
    <w:p w:rsidR="00A07169" w:rsidRPr="00A07169" w:rsidRDefault="003178F3" w:rsidP="006F70DD">
      <w:pPr>
        <w:jc w:val="both"/>
        <w:rPr>
          <w:rFonts w:eastAsia="SimSun" w:cs="Arial"/>
          <w:szCs w:val="24"/>
          <w:lang w:eastAsia="zh-CN"/>
        </w:rPr>
      </w:pPr>
      <w:r>
        <w:rPr>
          <w:rFonts w:eastAsia="SimSun" w:cs="Arial"/>
          <w:szCs w:val="24"/>
          <w:lang w:eastAsia="zh-CN"/>
        </w:rPr>
        <w:t>Perdavimo paslaugų sąnaudos didžia dalimi priklauso nuo sukurtų ir konkrečiose pristatymo vietose reikalingų pajėgumų dydžio.</w:t>
      </w:r>
      <w:r w:rsidR="004A1A6D">
        <w:rPr>
          <w:rFonts w:eastAsia="SimSun" w:cs="Arial"/>
          <w:szCs w:val="24"/>
          <w:lang w:eastAsia="zh-CN"/>
        </w:rPr>
        <w:t xml:space="preserve"> Tuo pačiu užtikrinamas pajėgumų lygmuo sukuria galimybę vartotojams bet kuriuo metu gauti reikiamą dujų kiekį.</w:t>
      </w:r>
      <w:r w:rsidR="00502AE9">
        <w:rPr>
          <w:rFonts w:eastAsia="SimSun" w:cs="Arial"/>
          <w:szCs w:val="24"/>
          <w:lang w:eastAsia="zh-CN"/>
        </w:rPr>
        <w:t xml:space="preserve"> Vadovaujantis Vyriausybės nustatyto Diversifikavimo tvarkos aprašo nuostatomis identifikuojami vartojimo pajėgumai geriausiai atspindi vartotojams reikalingų pajėgumų dydį. Atitinkamai kainos už juos nustatymas leidžia tiksliau susieti perdavimo sistemos sąnaudas su</w:t>
      </w:r>
      <w:r w:rsidR="004A1A6D">
        <w:rPr>
          <w:rFonts w:eastAsia="SimSun" w:cs="Arial"/>
          <w:szCs w:val="24"/>
          <w:lang w:eastAsia="zh-CN"/>
        </w:rPr>
        <w:t xml:space="preserve"> perdavimo paslaugomis sukuriama nauda.</w:t>
      </w:r>
      <w:r w:rsidR="00502AE9">
        <w:rPr>
          <w:rFonts w:eastAsia="SimSun" w:cs="Arial"/>
          <w:szCs w:val="24"/>
          <w:lang w:eastAsia="zh-CN"/>
        </w:rPr>
        <w:t xml:space="preserve"> </w:t>
      </w:r>
      <w:r w:rsidR="004A1A6D">
        <w:rPr>
          <w:rFonts w:eastAsia="SimSun" w:cs="Arial"/>
          <w:szCs w:val="24"/>
          <w:lang w:eastAsia="zh-CN"/>
        </w:rPr>
        <w:t>Dalies perdavimo sistemos sąnaudų padengima taikant k</w:t>
      </w:r>
      <w:r w:rsidR="00A07169" w:rsidRPr="00A07169">
        <w:rPr>
          <w:rFonts w:eastAsia="SimSun" w:cs="Arial"/>
          <w:szCs w:val="24"/>
          <w:lang w:eastAsia="zh-CN"/>
        </w:rPr>
        <w:t>ain</w:t>
      </w:r>
      <w:r w:rsidR="004A1A6D">
        <w:rPr>
          <w:rFonts w:eastAsia="SimSun" w:cs="Arial"/>
          <w:szCs w:val="24"/>
          <w:lang w:eastAsia="zh-CN"/>
        </w:rPr>
        <w:t>ą</w:t>
      </w:r>
      <w:r w:rsidR="00A07169" w:rsidRPr="00A07169">
        <w:rPr>
          <w:rFonts w:eastAsia="SimSun" w:cs="Arial"/>
          <w:szCs w:val="24"/>
          <w:lang w:eastAsia="zh-CN"/>
        </w:rPr>
        <w:t xml:space="preserve"> už vartojimo pajėgumus </w:t>
      </w:r>
      <w:r w:rsidR="00502AE9">
        <w:rPr>
          <w:rFonts w:eastAsia="SimSun" w:cs="Arial"/>
          <w:szCs w:val="24"/>
          <w:lang w:eastAsia="zh-CN"/>
        </w:rPr>
        <w:t>sumažina</w:t>
      </w:r>
      <w:r w:rsidR="00A07169" w:rsidRPr="00A07169">
        <w:rPr>
          <w:rFonts w:eastAsia="SimSun" w:cs="Arial"/>
          <w:szCs w:val="24"/>
          <w:lang w:eastAsia="zh-CN"/>
        </w:rPr>
        <w:t xml:space="preserve"> gamtinių dujų perdavimo paslaugų kainas sistemos naudotojams už užsakomus pajėgumus vidiniame išleidimo taške</w:t>
      </w:r>
      <w:r w:rsidR="00502AE9">
        <w:rPr>
          <w:rFonts w:eastAsia="SimSun" w:cs="Arial"/>
          <w:szCs w:val="24"/>
          <w:lang w:eastAsia="zh-CN"/>
        </w:rPr>
        <w:t>.</w:t>
      </w:r>
      <w:r w:rsidR="004A1A6D">
        <w:rPr>
          <w:rFonts w:eastAsia="SimSun" w:cs="Arial"/>
          <w:szCs w:val="24"/>
          <w:lang w:eastAsia="zh-CN"/>
        </w:rPr>
        <w:t xml:space="preserve">  Todėl tiems sistemos naudotojams kurie efektyviai išnaudoja jiems reikalingus perdavimo pajėgumus, </w:t>
      </w:r>
      <w:r w:rsidR="00A07169" w:rsidRPr="00A07169">
        <w:rPr>
          <w:rFonts w:eastAsia="SimSun" w:cs="Arial"/>
          <w:szCs w:val="24"/>
          <w:lang w:eastAsia="zh-CN"/>
        </w:rPr>
        <w:t xml:space="preserve"> naudojimosi perdavimo infrastruktūra </w:t>
      </w:r>
      <w:r w:rsidR="004A1A6D">
        <w:rPr>
          <w:rFonts w:eastAsia="SimSun" w:cs="Arial"/>
          <w:szCs w:val="24"/>
          <w:lang w:eastAsia="zh-CN"/>
        </w:rPr>
        <w:t>išlaidos sumažės</w:t>
      </w:r>
      <w:r w:rsidR="00A07169" w:rsidRPr="00A07169">
        <w:rPr>
          <w:rFonts w:eastAsia="SimSun" w:cs="Arial"/>
          <w:szCs w:val="24"/>
          <w:lang w:eastAsia="zh-CN"/>
        </w:rPr>
        <w:t xml:space="preserve">. </w:t>
      </w:r>
    </w:p>
    <w:p w:rsidR="0009042E" w:rsidRDefault="00A07169" w:rsidP="0009042E">
      <w:pPr>
        <w:jc w:val="both"/>
      </w:pPr>
      <w:r>
        <w:t>Vidutinės k</w:t>
      </w:r>
      <w:r w:rsidR="0009042E">
        <w:t>ainos, susijusios su dujų perdav</w:t>
      </w:r>
      <w:r w:rsidR="006F70DD">
        <w:t>imu Lietuvos sistemos naudotoja</w:t>
      </w:r>
      <w:r w:rsidR="0072669D">
        <w:t>m</w:t>
      </w:r>
      <w:r w:rsidR="0009042E">
        <w:t xml:space="preserve">s, išreikštos transportuojamo dujų kiekio vienetui, </w:t>
      </w:r>
      <w:r>
        <w:t xml:space="preserve">lyginant su 2015 m. lapkričio mėnesį nustatytomis dvinarėmis kainomis, išlieka nepakitusios </w:t>
      </w:r>
      <w:r w:rsidR="006F70DD">
        <w:t xml:space="preserve">– </w:t>
      </w:r>
      <w:r w:rsidR="0009042E">
        <w:t xml:space="preserve">1,93 </w:t>
      </w:r>
      <w:proofErr w:type="spellStart"/>
      <w:r w:rsidR="0009042E">
        <w:t>Eur</w:t>
      </w:r>
      <w:proofErr w:type="spellEnd"/>
      <w:r w:rsidR="006F70DD">
        <w:t xml:space="preserve"> </w:t>
      </w:r>
      <w:r w:rsidR="0009042E">
        <w:t>/</w:t>
      </w:r>
      <w:r w:rsidR="006F70DD">
        <w:t xml:space="preserve"> </w:t>
      </w:r>
      <w:proofErr w:type="spellStart"/>
      <w:r w:rsidR="0009042E">
        <w:t>MWh</w:t>
      </w:r>
      <w:proofErr w:type="spellEnd"/>
      <w:r w:rsidR="0009042E">
        <w:t>.</w:t>
      </w:r>
    </w:p>
    <w:p w:rsidR="0009042E" w:rsidRDefault="0009042E" w:rsidP="003B6077">
      <w:pPr>
        <w:jc w:val="both"/>
      </w:pPr>
      <w:r w:rsidRPr="002D66A9">
        <w:t>AB „</w:t>
      </w:r>
      <w:proofErr w:type="spellStart"/>
      <w:r w:rsidRPr="002D66A9">
        <w:t>Amber</w:t>
      </w:r>
      <w:proofErr w:type="spellEnd"/>
      <w:r w:rsidRPr="002D66A9">
        <w:t xml:space="preserve"> </w:t>
      </w:r>
      <w:proofErr w:type="spellStart"/>
      <w:r w:rsidRPr="002D66A9">
        <w:t>Grid</w:t>
      </w:r>
      <w:proofErr w:type="spellEnd"/>
      <w:r w:rsidRPr="002D66A9">
        <w:t xml:space="preserve">“ valdybos nustatytos gamtinių dujų perdavimo paslaugų kainos vidiniame išleidimo taške, skirtame Lietuvos vartotojams, yra vidutiniškai </w:t>
      </w:r>
      <w:r w:rsidR="003178F3">
        <w:t>4,8</w:t>
      </w:r>
      <w:r w:rsidRPr="002D66A9">
        <w:t xml:space="preserve"> proc. mažesnės už Komisijos </w:t>
      </w:r>
      <w:r>
        <w:t>2</w:t>
      </w:r>
      <w:r w:rsidRPr="002D66A9">
        <w:t xml:space="preserve">016 metams nustatytą </w:t>
      </w:r>
      <w:r w:rsidRPr="002D66A9">
        <w:lastRenderedPageBreak/>
        <w:t>kainos viršutinę ribą. Kituose įleidimo ir išleidimo taškuose nustatytos kainos yra lygios kainų viršutinėms riboms.</w:t>
      </w:r>
      <w:r w:rsidRPr="00672A0E">
        <w:t xml:space="preserve"> </w:t>
      </w:r>
    </w:p>
    <w:p w:rsidR="0009042E" w:rsidRDefault="00A07169" w:rsidP="0009042E">
      <w:pPr>
        <w:jc w:val="both"/>
      </w:pPr>
      <w:r>
        <w:t xml:space="preserve">Trinarės </w:t>
      </w:r>
      <w:r w:rsidR="0009042E">
        <w:t>gamtinių dujų perdavimo paslaugų kainos, įsigaliosiančios nuo 2016 m. sausio 1 d., paskelbtos AB „</w:t>
      </w:r>
      <w:proofErr w:type="spellStart"/>
      <w:r w:rsidR="0009042E">
        <w:t>Amber</w:t>
      </w:r>
      <w:proofErr w:type="spellEnd"/>
      <w:r w:rsidR="0009042E">
        <w:t xml:space="preserve"> </w:t>
      </w:r>
      <w:proofErr w:type="spellStart"/>
      <w:r w:rsidR="0009042E">
        <w:t>Grid</w:t>
      </w:r>
      <w:proofErr w:type="spellEnd"/>
      <w:r w:rsidR="0009042E">
        <w:t xml:space="preserve">“ tinklalapyje </w:t>
      </w:r>
      <w:hyperlink r:id="rId10" w:history="1">
        <w:r w:rsidR="0009042E" w:rsidRPr="00AA561C">
          <w:rPr>
            <w:rStyle w:val="Hyperlink"/>
          </w:rPr>
          <w:t>www.ambergrid.lt</w:t>
        </w:r>
      </w:hyperlink>
      <w:r w:rsidR="0009042E">
        <w:t>.</w:t>
      </w: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t>Mindaugas Grinius, AB „</w:t>
      </w:r>
      <w:proofErr w:type="spellStart"/>
      <w:r w:rsidRPr="006131E2">
        <w:rPr>
          <w:rFonts w:eastAsia="SimSun"/>
          <w:bCs/>
          <w:i/>
        </w:rPr>
        <w:t>Amber</w:t>
      </w:r>
      <w:proofErr w:type="spellEnd"/>
      <w:r w:rsidRPr="006131E2">
        <w:rPr>
          <w:rFonts w:eastAsia="SimSun"/>
          <w:bCs/>
          <w:i/>
        </w:rPr>
        <w:t xml:space="preserve"> </w:t>
      </w:r>
      <w:proofErr w:type="spellStart"/>
      <w:r w:rsidRPr="006131E2">
        <w:rPr>
          <w:rFonts w:eastAsia="SimSun"/>
          <w:bCs/>
          <w:i/>
        </w:rPr>
        <w:t>Grid</w:t>
      </w:r>
      <w:proofErr w:type="spellEnd"/>
      <w:r w:rsidRPr="006131E2">
        <w:rPr>
          <w:rFonts w:eastAsia="SimSun"/>
          <w:bCs/>
          <w:i/>
        </w:rPr>
        <w:t>“ atstovas spaudai</w:t>
      </w: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t>Tel.: (8 – 5) 232 7750</w:t>
      </w: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0303F5" w:rsidRPr="006131E2" w:rsidRDefault="000303F5" w:rsidP="00AF2A48">
      <w:pPr>
        <w:tabs>
          <w:tab w:val="num" w:pos="720"/>
        </w:tabs>
        <w:rPr>
          <w:vanish/>
        </w:rPr>
      </w:pPr>
      <w:r w:rsidRPr="006131E2">
        <w:rPr>
          <w:vanish/>
        </w:rPr>
        <w:t>Puslapio turinys</w:t>
      </w:r>
    </w:p>
    <w:p w:rsidR="00F135CD" w:rsidRPr="006131E2" w:rsidRDefault="00F135CD" w:rsidP="00B137E2">
      <w:pPr>
        <w:spacing w:before="100" w:beforeAutospacing="1" w:after="100" w:afterAutospacing="1"/>
        <w:jc w:val="both"/>
        <w:rPr>
          <w:rFonts w:eastAsia="SimSun"/>
          <w:bCs/>
        </w:rPr>
      </w:pPr>
    </w:p>
    <w:sectPr w:rsidR="00F135CD" w:rsidRPr="006131E2" w:rsidSect="00213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DC" w:rsidRDefault="00197BDC" w:rsidP="00B137E2">
      <w:pPr>
        <w:spacing w:after="0" w:line="240" w:lineRule="auto"/>
      </w:pPr>
      <w:r>
        <w:separator/>
      </w:r>
    </w:p>
  </w:endnote>
  <w:endnote w:type="continuationSeparator" w:id="0">
    <w:p w:rsidR="00197BDC" w:rsidRDefault="00197BDC" w:rsidP="00B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DC" w:rsidRDefault="00197BDC" w:rsidP="00B137E2">
      <w:pPr>
        <w:spacing w:after="0" w:line="240" w:lineRule="auto"/>
      </w:pPr>
      <w:r>
        <w:separator/>
      </w:r>
    </w:p>
  </w:footnote>
  <w:footnote w:type="continuationSeparator" w:id="0">
    <w:p w:rsidR="00197BDC" w:rsidRDefault="00197BDC" w:rsidP="00B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3C8A"/>
    <w:multiLevelType w:val="hybridMultilevel"/>
    <w:tmpl w:val="DF9851A4"/>
    <w:lvl w:ilvl="0" w:tplc="49607B28">
      <w:start w:val="1"/>
      <w:numFmt w:val="bullet"/>
      <w:lvlText w:val="─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9539B"/>
    <w:multiLevelType w:val="hybridMultilevel"/>
    <w:tmpl w:val="62A82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ytautas Ruolia">
    <w15:presenceInfo w15:providerId="AD" w15:userId="S-1-5-21-1823811621-336188519-2245429935-1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3"/>
    <w:rsid w:val="00003811"/>
    <w:rsid w:val="00013CF0"/>
    <w:rsid w:val="00017B89"/>
    <w:rsid w:val="000303F5"/>
    <w:rsid w:val="00037462"/>
    <w:rsid w:val="0005570D"/>
    <w:rsid w:val="000574DA"/>
    <w:rsid w:val="00085201"/>
    <w:rsid w:val="0009042E"/>
    <w:rsid w:val="0009133C"/>
    <w:rsid w:val="000A0286"/>
    <w:rsid w:val="000A472A"/>
    <w:rsid w:val="000A4A13"/>
    <w:rsid w:val="000C1B15"/>
    <w:rsid w:val="000E7895"/>
    <w:rsid w:val="000F1E93"/>
    <w:rsid w:val="000F5F54"/>
    <w:rsid w:val="00104FF8"/>
    <w:rsid w:val="0011081E"/>
    <w:rsid w:val="001314AA"/>
    <w:rsid w:val="0014074F"/>
    <w:rsid w:val="00146621"/>
    <w:rsid w:val="00147885"/>
    <w:rsid w:val="0016238C"/>
    <w:rsid w:val="001720C8"/>
    <w:rsid w:val="001743DA"/>
    <w:rsid w:val="00182983"/>
    <w:rsid w:val="0018391B"/>
    <w:rsid w:val="001923AB"/>
    <w:rsid w:val="00197BDC"/>
    <w:rsid w:val="001A3B73"/>
    <w:rsid w:val="001B68FC"/>
    <w:rsid w:val="001C6618"/>
    <w:rsid w:val="001D0959"/>
    <w:rsid w:val="001F3C41"/>
    <w:rsid w:val="00213E75"/>
    <w:rsid w:val="00246E07"/>
    <w:rsid w:val="00253BE3"/>
    <w:rsid w:val="00291582"/>
    <w:rsid w:val="002B6ED9"/>
    <w:rsid w:val="002E5C5F"/>
    <w:rsid w:val="002E7A4E"/>
    <w:rsid w:val="002F63DD"/>
    <w:rsid w:val="00316B49"/>
    <w:rsid w:val="003178F3"/>
    <w:rsid w:val="00341C43"/>
    <w:rsid w:val="00351BED"/>
    <w:rsid w:val="003625BC"/>
    <w:rsid w:val="003868BC"/>
    <w:rsid w:val="00387F2F"/>
    <w:rsid w:val="00393EE4"/>
    <w:rsid w:val="003B6077"/>
    <w:rsid w:val="003B67F0"/>
    <w:rsid w:val="003C1532"/>
    <w:rsid w:val="003D593C"/>
    <w:rsid w:val="003E0596"/>
    <w:rsid w:val="003F2692"/>
    <w:rsid w:val="003F3C87"/>
    <w:rsid w:val="003F7AF5"/>
    <w:rsid w:val="00464E68"/>
    <w:rsid w:val="00473D90"/>
    <w:rsid w:val="00476556"/>
    <w:rsid w:val="004841E2"/>
    <w:rsid w:val="00484D33"/>
    <w:rsid w:val="004949F0"/>
    <w:rsid w:val="004A1A6D"/>
    <w:rsid w:val="004A4D8B"/>
    <w:rsid w:val="004A502D"/>
    <w:rsid w:val="004D3600"/>
    <w:rsid w:val="004F36CD"/>
    <w:rsid w:val="00502AE9"/>
    <w:rsid w:val="00536405"/>
    <w:rsid w:val="00541FF2"/>
    <w:rsid w:val="00545260"/>
    <w:rsid w:val="0055669A"/>
    <w:rsid w:val="0057200E"/>
    <w:rsid w:val="00577BE1"/>
    <w:rsid w:val="00585724"/>
    <w:rsid w:val="00590551"/>
    <w:rsid w:val="005B6408"/>
    <w:rsid w:val="005D3126"/>
    <w:rsid w:val="005E4392"/>
    <w:rsid w:val="005E7454"/>
    <w:rsid w:val="006131E2"/>
    <w:rsid w:val="0063647D"/>
    <w:rsid w:val="006365E7"/>
    <w:rsid w:val="0064537F"/>
    <w:rsid w:val="00653B84"/>
    <w:rsid w:val="00667B73"/>
    <w:rsid w:val="0068772F"/>
    <w:rsid w:val="006B0FF1"/>
    <w:rsid w:val="006C17D9"/>
    <w:rsid w:val="006D5E39"/>
    <w:rsid w:val="006D63ED"/>
    <w:rsid w:val="006D7147"/>
    <w:rsid w:val="006E0E8F"/>
    <w:rsid w:val="006E2C94"/>
    <w:rsid w:val="006F08A9"/>
    <w:rsid w:val="006F0CAB"/>
    <w:rsid w:val="006F70DD"/>
    <w:rsid w:val="00703D2D"/>
    <w:rsid w:val="007219B7"/>
    <w:rsid w:val="00722395"/>
    <w:rsid w:val="0072669D"/>
    <w:rsid w:val="00735898"/>
    <w:rsid w:val="00752DDF"/>
    <w:rsid w:val="007548A7"/>
    <w:rsid w:val="007620AD"/>
    <w:rsid w:val="00762554"/>
    <w:rsid w:val="00762F22"/>
    <w:rsid w:val="00767FC9"/>
    <w:rsid w:val="00775FA6"/>
    <w:rsid w:val="00781C1F"/>
    <w:rsid w:val="00785E5D"/>
    <w:rsid w:val="007A72F1"/>
    <w:rsid w:val="007D0770"/>
    <w:rsid w:val="007F024E"/>
    <w:rsid w:val="007F61A4"/>
    <w:rsid w:val="00801FDC"/>
    <w:rsid w:val="00804F68"/>
    <w:rsid w:val="00813BE8"/>
    <w:rsid w:val="0083570A"/>
    <w:rsid w:val="00835A69"/>
    <w:rsid w:val="00841C9C"/>
    <w:rsid w:val="00861C02"/>
    <w:rsid w:val="00870AE2"/>
    <w:rsid w:val="00872446"/>
    <w:rsid w:val="00882196"/>
    <w:rsid w:val="00884BAD"/>
    <w:rsid w:val="00894C60"/>
    <w:rsid w:val="008A5139"/>
    <w:rsid w:val="008B73ED"/>
    <w:rsid w:val="008C7D51"/>
    <w:rsid w:val="008E2737"/>
    <w:rsid w:val="00903FD4"/>
    <w:rsid w:val="009048A0"/>
    <w:rsid w:val="00911602"/>
    <w:rsid w:val="00925756"/>
    <w:rsid w:val="00935865"/>
    <w:rsid w:val="00945AA9"/>
    <w:rsid w:val="009557A3"/>
    <w:rsid w:val="009573E1"/>
    <w:rsid w:val="00963984"/>
    <w:rsid w:val="00963E4F"/>
    <w:rsid w:val="00964058"/>
    <w:rsid w:val="009703E0"/>
    <w:rsid w:val="009708FD"/>
    <w:rsid w:val="00987B0D"/>
    <w:rsid w:val="00991E6D"/>
    <w:rsid w:val="009A7334"/>
    <w:rsid w:val="009C2EE7"/>
    <w:rsid w:val="009C6752"/>
    <w:rsid w:val="009D3151"/>
    <w:rsid w:val="009E3C67"/>
    <w:rsid w:val="009F46EB"/>
    <w:rsid w:val="009F5895"/>
    <w:rsid w:val="00A07169"/>
    <w:rsid w:val="00A12546"/>
    <w:rsid w:val="00A13933"/>
    <w:rsid w:val="00A238F1"/>
    <w:rsid w:val="00A357B4"/>
    <w:rsid w:val="00A60BB6"/>
    <w:rsid w:val="00A61E32"/>
    <w:rsid w:val="00A80BB0"/>
    <w:rsid w:val="00A82586"/>
    <w:rsid w:val="00A93886"/>
    <w:rsid w:val="00AA4E59"/>
    <w:rsid w:val="00AB0F5B"/>
    <w:rsid w:val="00AB350A"/>
    <w:rsid w:val="00AC1AFD"/>
    <w:rsid w:val="00AC512D"/>
    <w:rsid w:val="00AC6863"/>
    <w:rsid w:val="00AF2A48"/>
    <w:rsid w:val="00AF2AB0"/>
    <w:rsid w:val="00B130BC"/>
    <w:rsid w:val="00B137E2"/>
    <w:rsid w:val="00B21FBF"/>
    <w:rsid w:val="00B27A63"/>
    <w:rsid w:val="00B30DDB"/>
    <w:rsid w:val="00B34592"/>
    <w:rsid w:val="00B43132"/>
    <w:rsid w:val="00B53C24"/>
    <w:rsid w:val="00B53EF4"/>
    <w:rsid w:val="00B55442"/>
    <w:rsid w:val="00B7393A"/>
    <w:rsid w:val="00B8072B"/>
    <w:rsid w:val="00B80E1D"/>
    <w:rsid w:val="00B9036A"/>
    <w:rsid w:val="00BA0FDD"/>
    <w:rsid w:val="00BA26BE"/>
    <w:rsid w:val="00BB05AA"/>
    <w:rsid w:val="00BC399F"/>
    <w:rsid w:val="00BD4393"/>
    <w:rsid w:val="00BD4769"/>
    <w:rsid w:val="00BD4917"/>
    <w:rsid w:val="00BD49E1"/>
    <w:rsid w:val="00BE1D88"/>
    <w:rsid w:val="00BE2FE6"/>
    <w:rsid w:val="00C27256"/>
    <w:rsid w:val="00C55FD7"/>
    <w:rsid w:val="00C6092F"/>
    <w:rsid w:val="00C678F2"/>
    <w:rsid w:val="00C73FC6"/>
    <w:rsid w:val="00C76268"/>
    <w:rsid w:val="00C93B81"/>
    <w:rsid w:val="00C978FF"/>
    <w:rsid w:val="00CA3225"/>
    <w:rsid w:val="00CA3B54"/>
    <w:rsid w:val="00CA511F"/>
    <w:rsid w:val="00CA5846"/>
    <w:rsid w:val="00CC580B"/>
    <w:rsid w:val="00CC7F3A"/>
    <w:rsid w:val="00CD42BB"/>
    <w:rsid w:val="00CE1ED2"/>
    <w:rsid w:val="00CE46CB"/>
    <w:rsid w:val="00CE5B42"/>
    <w:rsid w:val="00D0367D"/>
    <w:rsid w:val="00D10299"/>
    <w:rsid w:val="00D263DD"/>
    <w:rsid w:val="00D64ADC"/>
    <w:rsid w:val="00DA1029"/>
    <w:rsid w:val="00DB1B54"/>
    <w:rsid w:val="00DB5330"/>
    <w:rsid w:val="00DD350D"/>
    <w:rsid w:val="00DE21E7"/>
    <w:rsid w:val="00DE2554"/>
    <w:rsid w:val="00DE41BD"/>
    <w:rsid w:val="00DE66A3"/>
    <w:rsid w:val="00DF1F38"/>
    <w:rsid w:val="00E0729A"/>
    <w:rsid w:val="00E15A2C"/>
    <w:rsid w:val="00E33AA1"/>
    <w:rsid w:val="00E64E05"/>
    <w:rsid w:val="00E8798F"/>
    <w:rsid w:val="00EA73EB"/>
    <w:rsid w:val="00EB4C51"/>
    <w:rsid w:val="00EB6074"/>
    <w:rsid w:val="00EC3943"/>
    <w:rsid w:val="00ED7CFF"/>
    <w:rsid w:val="00F02B83"/>
    <w:rsid w:val="00F135CD"/>
    <w:rsid w:val="00F41987"/>
    <w:rsid w:val="00F5745D"/>
    <w:rsid w:val="00F70978"/>
    <w:rsid w:val="00F73A97"/>
    <w:rsid w:val="00F838BE"/>
    <w:rsid w:val="00F92564"/>
    <w:rsid w:val="00F933A5"/>
    <w:rsid w:val="00FB4680"/>
    <w:rsid w:val="00FC43C2"/>
    <w:rsid w:val="00FD6726"/>
    <w:rsid w:val="00FD7F70"/>
    <w:rsid w:val="00FE4BDF"/>
    <w:rsid w:val="00FF265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bergrid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43F7-4601-4082-BEF5-423E9DD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Mindaugas Grinius</cp:lastModifiedBy>
  <cp:revision>3</cp:revision>
  <cp:lastPrinted>2015-08-28T07:06:00Z</cp:lastPrinted>
  <dcterms:created xsi:type="dcterms:W3CDTF">2015-12-22T06:32:00Z</dcterms:created>
  <dcterms:modified xsi:type="dcterms:W3CDTF">2015-12-22T06:56:00Z</dcterms:modified>
</cp:coreProperties>
</file>