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C1" w:rsidRPr="00645DBD" w:rsidRDefault="006448C1" w:rsidP="006448C1">
      <w:pPr>
        <w:pStyle w:val="Heading2"/>
        <w:jc w:val="both"/>
        <w:rPr>
          <w:color w:val="auto"/>
          <w:lang w:val="lt-LT"/>
        </w:rPr>
      </w:pPr>
      <w:r w:rsidRPr="00645DBD">
        <w:rPr>
          <w:color w:val="auto"/>
          <w:lang w:val="lt-LT"/>
        </w:rPr>
        <w:t>Konsultacijos klausimynas</w:t>
      </w:r>
    </w:p>
    <w:p w:rsidR="006448C1" w:rsidRPr="00645DBD" w:rsidRDefault="006448C1" w:rsidP="006448C1">
      <w:pPr>
        <w:spacing w:after="0" w:line="240" w:lineRule="auto"/>
        <w:jc w:val="both"/>
        <w:rPr>
          <w:lang w:val="lt-LT"/>
        </w:rPr>
      </w:pPr>
    </w:p>
    <w:p w:rsidR="006448C1" w:rsidRPr="00645DBD" w:rsidRDefault="006448C1" w:rsidP="006448C1">
      <w:pPr>
        <w:pStyle w:val="ListParagraph"/>
        <w:numPr>
          <w:ilvl w:val="0"/>
          <w:numId w:val="2"/>
        </w:numPr>
        <w:spacing w:after="0" w:line="240" w:lineRule="auto"/>
        <w:jc w:val="both"/>
        <w:rPr>
          <w:lang w:val="lt-LT"/>
        </w:rPr>
      </w:pPr>
      <w:r w:rsidRPr="00645DBD">
        <w:rPr>
          <w:lang w:val="lt-LT"/>
        </w:rPr>
        <w:t>Jūsų vardas</w:t>
      </w:r>
    </w:p>
    <w:p w:rsidR="006448C1" w:rsidRPr="00645DBD" w:rsidRDefault="006448C1" w:rsidP="006448C1">
      <w:pPr>
        <w:pStyle w:val="ListParagraph"/>
        <w:numPr>
          <w:ilvl w:val="0"/>
          <w:numId w:val="2"/>
        </w:numPr>
        <w:spacing w:after="0" w:line="240" w:lineRule="auto"/>
        <w:jc w:val="both"/>
        <w:rPr>
          <w:lang w:val="lt-LT"/>
        </w:rPr>
      </w:pPr>
      <w:r w:rsidRPr="00645DBD">
        <w:rPr>
          <w:lang w:val="lt-LT"/>
        </w:rPr>
        <w:t>Jūsų elektroninio pašto adresas</w:t>
      </w:r>
    </w:p>
    <w:p w:rsidR="006448C1" w:rsidRPr="00645DBD" w:rsidRDefault="006448C1" w:rsidP="006448C1">
      <w:pPr>
        <w:pStyle w:val="ListParagraph"/>
        <w:numPr>
          <w:ilvl w:val="0"/>
          <w:numId w:val="2"/>
        </w:numPr>
        <w:spacing w:after="0" w:line="240" w:lineRule="auto"/>
        <w:jc w:val="both"/>
        <w:rPr>
          <w:lang w:val="lt-LT"/>
        </w:rPr>
      </w:pPr>
      <w:r w:rsidRPr="00645DBD">
        <w:rPr>
          <w:lang w:val="lt-LT"/>
        </w:rPr>
        <w:t>Jūsų organizacijos pavadinimas</w:t>
      </w:r>
    </w:p>
    <w:p w:rsidR="006448C1" w:rsidRPr="00645DBD" w:rsidRDefault="006448C1" w:rsidP="006448C1">
      <w:pPr>
        <w:pStyle w:val="ListParagraph"/>
        <w:numPr>
          <w:ilvl w:val="0"/>
          <w:numId w:val="2"/>
        </w:numPr>
        <w:spacing w:after="0" w:line="240" w:lineRule="auto"/>
        <w:jc w:val="both"/>
        <w:rPr>
          <w:lang w:val="lt-LT"/>
        </w:rPr>
      </w:pPr>
      <w:r w:rsidRPr="00645DBD">
        <w:rPr>
          <w:lang w:val="lt-LT"/>
        </w:rPr>
        <w:t>Ar norėtumėte, kad Jūsų atsakymai būtų skelbiami anonimiškai (neatskleidžiant vardo, organizacijos pavadinimo)?</w:t>
      </w:r>
    </w:p>
    <w:p w:rsidR="006448C1" w:rsidRPr="00645DBD" w:rsidRDefault="006448C1" w:rsidP="006448C1">
      <w:pPr>
        <w:pStyle w:val="ListParagraph"/>
        <w:numPr>
          <w:ilvl w:val="0"/>
          <w:numId w:val="2"/>
        </w:numPr>
        <w:spacing w:after="0" w:line="240" w:lineRule="auto"/>
        <w:jc w:val="both"/>
        <w:rPr>
          <w:lang w:val="lt-LT"/>
        </w:rPr>
      </w:pPr>
      <w:r w:rsidRPr="00645DBD">
        <w:rPr>
          <w:lang w:val="lt-LT"/>
        </w:rPr>
        <w:t>Prašome pateikti savo atsakymus dėl Perdavimo pajėgumų valdymo principų bendroje Baltijos šalių gamtinių dujų rinkoje analizės.</w:t>
      </w:r>
    </w:p>
    <w:p w:rsidR="006448C1" w:rsidRPr="00645DBD" w:rsidRDefault="006448C1" w:rsidP="006448C1">
      <w:pPr>
        <w:pStyle w:val="ListParagraph"/>
        <w:spacing w:after="0" w:line="240" w:lineRule="auto"/>
        <w:jc w:val="both"/>
        <w:rPr>
          <w:lang w:val="lt-LT"/>
        </w:rPr>
      </w:pPr>
    </w:p>
    <w:tbl>
      <w:tblPr>
        <w:tblStyle w:val="TableGridLight"/>
        <w:tblW w:w="9497" w:type="dxa"/>
        <w:tblLayout w:type="fixed"/>
        <w:tblLook w:val="04A0" w:firstRow="1" w:lastRow="0" w:firstColumn="1" w:lastColumn="0" w:noHBand="0" w:noVBand="1"/>
      </w:tblPr>
      <w:tblGrid>
        <w:gridCol w:w="562"/>
        <w:gridCol w:w="5250"/>
        <w:gridCol w:w="3685"/>
      </w:tblGrid>
      <w:tr w:rsidR="006448C1" w:rsidRPr="00645DBD" w:rsidTr="00025C9C">
        <w:trPr>
          <w:trHeight w:val="295"/>
        </w:trPr>
        <w:tc>
          <w:tcPr>
            <w:tcW w:w="562" w:type="dxa"/>
          </w:tcPr>
          <w:p w:rsidR="006448C1" w:rsidRPr="00645DBD" w:rsidRDefault="006448C1" w:rsidP="00025C9C">
            <w:pPr>
              <w:jc w:val="center"/>
              <w:rPr>
                <w:rFonts w:eastAsia="Times New Roman" w:cs="Arial"/>
                <w:lang w:val="lt-LT"/>
              </w:rPr>
            </w:pPr>
            <w:r w:rsidRPr="00645DBD">
              <w:rPr>
                <w:rFonts w:eastAsia="Times New Roman" w:cs="Arial"/>
                <w:lang w:val="lt-LT"/>
              </w:rPr>
              <w:t>Nr.</w:t>
            </w:r>
          </w:p>
        </w:tc>
        <w:tc>
          <w:tcPr>
            <w:tcW w:w="5250" w:type="dxa"/>
          </w:tcPr>
          <w:p w:rsidR="006448C1" w:rsidRPr="00645DBD" w:rsidRDefault="006448C1" w:rsidP="00025C9C">
            <w:pPr>
              <w:jc w:val="center"/>
              <w:rPr>
                <w:rFonts w:eastAsia="Times New Roman" w:cs="Arial"/>
                <w:lang w:val="lt-LT"/>
              </w:rPr>
            </w:pPr>
            <w:r w:rsidRPr="00645DBD">
              <w:rPr>
                <w:rFonts w:eastAsia="Times New Roman" w:cs="Arial"/>
                <w:lang w:val="lt-LT"/>
              </w:rPr>
              <w:t>Aprašymas</w:t>
            </w:r>
          </w:p>
        </w:tc>
        <w:tc>
          <w:tcPr>
            <w:tcW w:w="3685" w:type="dxa"/>
          </w:tcPr>
          <w:p w:rsidR="006448C1" w:rsidRPr="00645DBD" w:rsidRDefault="006448C1" w:rsidP="00025C9C">
            <w:pPr>
              <w:jc w:val="center"/>
              <w:rPr>
                <w:rFonts w:eastAsia="Times New Roman" w:cs="Arial"/>
                <w:lang w:val="lt-LT"/>
              </w:rPr>
            </w:pPr>
            <w:r w:rsidRPr="00645DBD">
              <w:rPr>
                <w:rFonts w:eastAsia="Times New Roman" w:cs="Arial"/>
                <w:lang w:val="lt-LT"/>
              </w:rPr>
              <w:t>Klausimas</w:t>
            </w:r>
          </w:p>
        </w:tc>
      </w:tr>
      <w:tr w:rsidR="006448C1" w:rsidRPr="00645DBD" w:rsidTr="00025C9C">
        <w:trPr>
          <w:trHeight w:val="1698"/>
        </w:trPr>
        <w:tc>
          <w:tcPr>
            <w:tcW w:w="562" w:type="dxa"/>
          </w:tcPr>
          <w:p w:rsidR="006448C1" w:rsidRPr="00645DBD" w:rsidRDefault="006448C1" w:rsidP="00025C9C">
            <w:pPr>
              <w:rPr>
                <w:rFonts w:eastAsia="Times New Roman" w:cs="Arial"/>
                <w:lang w:val="lt-LT"/>
              </w:rPr>
            </w:pPr>
            <w:r w:rsidRPr="00645DBD">
              <w:rPr>
                <w:rFonts w:eastAsia="Times New Roman" w:cs="Arial"/>
                <w:lang w:val="lt-LT"/>
              </w:rPr>
              <w:t>1</w:t>
            </w:r>
          </w:p>
        </w:tc>
        <w:tc>
          <w:tcPr>
            <w:tcW w:w="5250" w:type="dxa"/>
          </w:tcPr>
          <w:p w:rsidR="006448C1" w:rsidRPr="00645DBD" w:rsidRDefault="006448C1" w:rsidP="00025C9C">
            <w:pPr>
              <w:keepNext/>
              <w:framePr w:hSpace="180" w:wrap="around" w:vAnchor="text" w:hAnchor="text" w:x="392" w:y="1"/>
              <w:jc w:val="both"/>
              <w:rPr>
                <w:lang w:val="lt-LT"/>
              </w:rPr>
            </w:pPr>
            <w:r w:rsidRPr="00645DBD">
              <w:rPr>
                <w:lang w:val="lt-LT"/>
              </w:rPr>
              <w:t>Šioje analizėje rašoma, kad pajėgumų priskyrimas sujungimo taškuose su kitomis ES šalimis, turėtų vykti pagal Europos Komisijos perdavimo sistemų pajėgumų paskirstymo mechanizmų tinklo kodeksą (angl. NC CAM</w:t>
            </w:r>
            <w:r w:rsidR="00C358C4" w:rsidRPr="00645DBD">
              <w:rPr>
                <w:lang w:val="lt-LT"/>
              </w:rPr>
              <w:t>, toliau - Reglamentas</w:t>
            </w:r>
            <w:r w:rsidRPr="00645DBD">
              <w:rPr>
                <w:lang w:val="lt-LT"/>
              </w:rPr>
              <w:t>). Kituose įleidimo išleidimo taškuose taip pat turėtų būti taikomi tie patys pajėgumų produktai kaip ir sujungimo taškuose. Pajėgumų produktai turėtų būti tiek ilgalaikiai, tiek trumpalaikiai.</w:t>
            </w:r>
          </w:p>
          <w:p w:rsidR="006448C1" w:rsidRPr="00645DBD" w:rsidRDefault="006448C1" w:rsidP="00025C9C">
            <w:pPr>
              <w:keepNext/>
              <w:framePr w:hSpace="180" w:wrap="around" w:vAnchor="text" w:hAnchor="text" w:x="392" w:y="1"/>
              <w:jc w:val="both"/>
              <w:rPr>
                <w:lang w:val="lt-LT"/>
              </w:rPr>
            </w:pPr>
            <w:r w:rsidRPr="00645DBD">
              <w:rPr>
                <w:lang w:val="lt-LT"/>
              </w:rPr>
              <w:t>Pajėgumai sujungimo taškuose su kitomis ES šalimis (kaip Lenkija) būtų paskirstomi aukciono būdu pagal Europos Komisijos perdavimo sistemų pajėgumų paskirstymo mechanizmų tinklo kodeksą. Pajėgumai kituose įleidimo/išleidimo taškuose būtų priskiriami naudojant proporcingumo (</w:t>
            </w:r>
            <w:r w:rsidR="00645DBD">
              <w:rPr>
                <w:lang w:val="lt-LT"/>
              </w:rPr>
              <w:t>„</w:t>
            </w:r>
            <w:r w:rsidRPr="00645DBD">
              <w:rPr>
                <w:lang w:val="lt-LT"/>
              </w:rPr>
              <w:t xml:space="preserve">pro </w:t>
            </w:r>
            <w:proofErr w:type="spellStart"/>
            <w:r w:rsidRPr="00645DBD">
              <w:rPr>
                <w:lang w:val="lt-LT"/>
              </w:rPr>
              <w:t>rata</w:t>
            </w:r>
            <w:proofErr w:type="spellEnd"/>
            <w:r w:rsidR="00645DBD">
              <w:rPr>
                <w:lang w:val="lt-LT"/>
              </w:rPr>
              <w:t>“</w:t>
            </w:r>
            <w:r w:rsidRPr="00645DBD">
              <w:rPr>
                <w:lang w:val="lt-LT"/>
              </w:rPr>
              <w:t xml:space="preserve">) principą, o taškuose kuriuose nesusidaro perkrova galėtų būti taikomas – </w:t>
            </w:r>
            <w:r w:rsidR="00C358C4" w:rsidRPr="00645DBD">
              <w:rPr>
                <w:lang w:val="lt-LT"/>
              </w:rPr>
              <w:t>„</w:t>
            </w:r>
            <w:r w:rsidRPr="00645DBD">
              <w:rPr>
                <w:lang w:val="lt-LT"/>
              </w:rPr>
              <w:t>pirmas atėjai, pirmas gavai</w:t>
            </w:r>
            <w:r w:rsidR="00C358C4" w:rsidRPr="00645DBD">
              <w:rPr>
                <w:lang w:val="lt-LT"/>
              </w:rPr>
              <w:t>“</w:t>
            </w:r>
            <w:r w:rsidRPr="00645DBD">
              <w:rPr>
                <w:lang w:val="lt-LT"/>
              </w:rPr>
              <w:t xml:space="preserve"> principas.</w:t>
            </w:r>
          </w:p>
          <w:p w:rsidR="006448C1" w:rsidRPr="00645DBD" w:rsidRDefault="006448C1" w:rsidP="00025C9C">
            <w:pPr>
              <w:keepNext/>
              <w:framePr w:hSpace="180" w:wrap="around" w:vAnchor="text" w:hAnchor="text" w:x="392" w:y="1"/>
              <w:jc w:val="both"/>
              <w:rPr>
                <w:rFonts w:eastAsia="Times New Roman" w:cs="Arial"/>
                <w:b/>
                <w:bCs/>
                <w:lang w:val="lt-LT"/>
              </w:rPr>
            </w:pPr>
            <w:r w:rsidRPr="00645DBD">
              <w:rPr>
                <w:rFonts w:eastAsia="Times New Roman" w:cs="Arial"/>
                <w:lang w:val="lt-LT"/>
              </w:rPr>
              <w:t xml:space="preserve"> </w:t>
            </w:r>
          </w:p>
        </w:tc>
        <w:tc>
          <w:tcPr>
            <w:tcW w:w="3685" w:type="dxa"/>
          </w:tcPr>
          <w:p w:rsidR="006448C1" w:rsidRPr="00645DBD" w:rsidRDefault="006448C1" w:rsidP="006448C1">
            <w:pPr>
              <w:pStyle w:val="ListParagraph"/>
              <w:keepNext/>
              <w:framePr w:hSpace="180" w:wrap="around" w:vAnchor="text" w:hAnchor="text" w:x="392" w:y="1"/>
              <w:numPr>
                <w:ilvl w:val="0"/>
                <w:numId w:val="4"/>
              </w:numPr>
              <w:jc w:val="both"/>
              <w:rPr>
                <w:lang w:val="lt-LT"/>
              </w:rPr>
            </w:pPr>
            <w:r w:rsidRPr="00645DBD">
              <w:rPr>
                <w:lang w:val="lt-LT"/>
              </w:rPr>
              <w:t>Ar sutinkate su pajėgumų principais ir pajėgumų produktų sąrašu pateiktais 9-11 skaidrėse? Prašome pateikti savo nuomonę.</w:t>
            </w:r>
          </w:p>
          <w:p w:rsidR="006448C1" w:rsidRPr="00645DBD" w:rsidRDefault="006448C1" w:rsidP="006448C1">
            <w:pPr>
              <w:pStyle w:val="ListParagraph"/>
              <w:framePr w:hSpace="180" w:wrap="around" w:vAnchor="text" w:hAnchor="text" w:x="392" w:y="1"/>
              <w:numPr>
                <w:ilvl w:val="0"/>
                <w:numId w:val="4"/>
              </w:numPr>
              <w:jc w:val="both"/>
              <w:rPr>
                <w:rFonts w:eastAsia="Times New Roman" w:cs="Arial"/>
                <w:lang w:val="lt-LT"/>
              </w:rPr>
            </w:pPr>
            <w:r w:rsidRPr="00645DBD">
              <w:rPr>
                <w:rFonts w:eastAsia="Times New Roman" w:cs="Arial"/>
                <w:lang w:val="lt-LT"/>
              </w:rPr>
              <w:t>Ar sutinkate, kad visi standartiniai pajėgumų produktai, kurie bus pateikiami sujungimo taškuose, būtų pateikiami ir kituose įleidimo išleidimo taškuose?</w:t>
            </w:r>
          </w:p>
          <w:p w:rsidR="006448C1" w:rsidRPr="00645DBD" w:rsidRDefault="006448C1" w:rsidP="006448C1">
            <w:pPr>
              <w:pStyle w:val="ListParagraph"/>
              <w:framePr w:hSpace="180" w:wrap="around" w:vAnchor="text" w:hAnchor="text" w:x="392" w:y="1"/>
              <w:numPr>
                <w:ilvl w:val="0"/>
                <w:numId w:val="4"/>
              </w:numPr>
              <w:jc w:val="both"/>
              <w:rPr>
                <w:rFonts w:eastAsia="Times New Roman" w:cs="Arial"/>
                <w:lang w:val="lt-LT"/>
              </w:rPr>
            </w:pPr>
            <w:r w:rsidRPr="00645DBD">
              <w:rPr>
                <w:rFonts w:eastAsia="Times New Roman" w:cs="Arial"/>
                <w:lang w:val="lt-LT"/>
              </w:rPr>
              <w:t>Ar turite pasiūlymų pateiktiems pajėgumų priskyrimo terminams (kalendoriui)?</w:t>
            </w:r>
          </w:p>
          <w:p w:rsidR="006448C1" w:rsidRPr="00645DBD" w:rsidRDefault="006448C1" w:rsidP="006448C1">
            <w:pPr>
              <w:pStyle w:val="ListParagraph"/>
              <w:framePr w:hSpace="180" w:wrap="around" w:vAnchor="text" w:hAnchor="text" w:x="392" w:y="1"/>
              <w:numPr>
                <w:ilvl w:val="0"/>
                <w:numId w:val="4"/>
              </w:numPr>
              <w:jc w:val="both"/>
              <w:rPr>
                <w:rFonts w:eastAsia="Times New Roman" w:cs="Arial"/>
                <w:lang w:val="lt-LT"/>
              </w:rPr>
            </w:pPr>
            <w:r w:rsidRPr="00645DBD">
              <w:rPr>
                <w:rFonts w:eastAsia="Times New Roman" w:cs="Arial"/>
                <w:lang w:val="lt-LT"/>
              </w:rPr>
              <w:t>Ar pritariate, kad įleidimo</w:t>
            </w:r>
            <w:r w:rsidR="00645DBD">
              <w:rPr>
                <w:rFonts w:eastAsia="Times New Roman" w:cs="Arial"/>
                <w:lang w:val="lt-LT"/>
              </w:rPr>
              <w:t xml:space="preserve"> </w:t>
            </w:r>
            <w:r w:rsidRPr="00645DBD">
              <w:rPr>
                <w:rFonts w:eastAsia="Times New Roman" w:cs="Arial"/>
                <w:lang w:val="lt-LT"/>
              </w:rPr>
              <w:t>/</w:t>
            </w:r>
            <w:r w:rsidR="00645DBD">
              <w:rPr>
                <w:rFonts w:eastAsia="Times New Roman" w:cs="Arial"/>
                <w:lang w:val="lt-LT"/>
              </w:rPr>
              <w:t xml:space="preserve"> </w:t>
            </w:r>
            <w:r w:rsidRPr="00645DBD">
              <w:rPr>
                <w:rFonts w:eastAsia="Times New Roman" w:cs="Arial"/>
                <w:lang w:val="lt-LT"/>
              </w:rPr>
              <w:t>išleidimo taškuose</w:t>
            </w:r>
            <w:r w:rsidR="00645DBD">
              <w:rPr>
                <w:rFonts w:eastAsia="Times New Roman" w:cs="Arial"/>
                <w:lang w:val="lt-LT"/>
              </w:rPr>
              <w:t>,</w:t>
            </w:r>
            <w:r w:rsidRPr="00645DBD">
              <w:rPr>
                <w:lang w:val="lt-LT"/>
              </w:rPr>
              <w:t xml:space="preserve"> </w:t>
            </w:r>
            <w:r w:rsidRPr="00645DBD">
              <w:rPr>
                <w:rFonts w:eastAsia="Times New Roman" w:cs="Arial"/>
                <w:lang w:val="lt-LT"/>
              </w:rPr>
              <w:t>kuriuose nesusidaro perkrova</w:t>
            </w:r>
            <w:r w:rsidR="00645DBD">
              <w:rPr>
                <w:rFonts w:eastAsia="Times New Roman" w:cs="Arial"/>
                <w:lang w:val="lt-LT"/>
              </w:rPr>
              <w:t>,</w:t>
            </w:r>
            <w:r w:rsidRPr="00645DBD">
              <w:rPr>
                <w:rFonts w:eastAsia="Times New Roman" w:cs="Arial"/>
                <w:lang w:val="lt-LT"/>
              </w:rPr>
              <w:t xml:space="preserve">  būtų naudojamas </w:t>
            </w:r>
            <w:r w:rsidR="00C358C4" w:rsidRPr="00645DBD">
              <w:rPr>
                <w:rFonts w:eastAsia="Times New Roman" w:cs="Arial"/>
                <w:lang w:val="lt-LT"/>
              </w:rPr>
              <w:t>„</w:t>
            </w:r>
            <w:r w:rsidRPr="00645DBD">
              <w:rPr>
                <w:rFonts w:eastAsia="Times New Roman" w:cs="Arial"/>
                <w:lang w:val="lt-LT"/>
              </w:rPr>
              <w:t>pirmas atėjai, pirmas gavai</w:t>
            </w:r>
            <w:r w:rsidR="00C358C4" w:rsidRPr="00645DBD">
              <w:rPr>
                <w:rFonts w:eastAsia="Times New Roman" w:cs="Arial"/>
                <w:lang w:val="lt-LT"/>
              </w:rPr>
              <w:t>“</w:t>
            </w:r>
            <w:r w:rsidRPr="00645DBD">
              <w:rPr>
                <w:rFonts w:eastAsia="Times New Roman" w:cs="Arial"/>
                <w:lang w:val="lt-LT"/>
              </w:rPr>
              <w:t xml:space="preserve"> principas?</w:t>
            </w:r>
          </w:p>
          <w:p w:rsidR="006448C1" w:rsidRPr="00645DBD" w:rsidRDefault="006448C1" w:rsidP="00645DBD">
            <w:pPr>
              <w:pStyle w:val="ListParagraph"/>
              <w:numPr>
                <w:ilvl w:val="0"/>
                <w:numId w:val="4"/>
              </w:numPr>
              <w:jc w:val="both"/>
              <w:rPr>
                <w:lang w:val="lt-LT"/>
              </w:rPr>
            </w:pPr>
            <w:r w:rsidRPr="00645DBD">
              <w:rPr>
                <w:lang w:val="lt-LT"/>
              </w:rPr>
              <w:t>Ar turite kitų pasiūlymų dėl perdavimo pajėgumų valdymo bendroje Baltijos gamtinių dujų rinkoje?</w:t>
            </w:r>
          </w:p>
        </w:tc>
      </w:tr>
      <w:tr w:rsidR="006448C1" w:rsidRPr="00645DBD" w:rsidTr="00025C9C">
        <w:trPr>
          <w:trHeight w:val="340"/>
        </w:trPr>
        <w:tc>
          <w:tcPr>
            <w:tcW w:w="562" w:type="dxa"/>
          </w:tcPr>
          <w:p w:rsidR="006448C1" w:rsidRPr="00645DBD" w:rsidRDefault="006448C1" w:rsidP="00025C9C">
            <w:pPr>
              <w:rPr>
                <w:rFonts w:eastAsia="Times New Roman" w:cs="Arial"/>
                <w:lang w:val="lt-LT"/>
              </w:rPr>
            </w:pPr>
            <w:r w:rsidRPr="00645DBD">
              <w:rPr>
                <w:rFonts w:eastAsia="Times New Roman" w:cs="Arial"/>
                <w:lang w:val="lt-LT"/>
              </w:rPr>
              <w:t>2</w:t>
            </w:r>
          </w:p>
        </w:tc>
        <w:tc>
          <w:tcPr>
            <w:tcW w:w="5250" w:type="dxa"/>
          </w:tcPr>
          <w:p w:rsidR="006448C1" w:rsidRPr="00645DBD" w:rsidRDefault="006448C1" w:rsidP="00025C9C">
            <w:pPr>
              <w:jc w:val="both"/>
              <w:rPr>
                <w:rFonts w:eastAsia="Times New Roman" w:cs="Arial"/>
                <w:lang w:val="lt-LT"/>
              </w:rPr>
            </w:pPr>
            <w:r w:rsidRPr="00645DBD">
              <w:rPr>
                <w:rFonts w:eastAsia="Times New Roman" w:cs="Arial"/>
                <w:lang w:val="lt-LT"/>
              </w:rPr>
              <w:t>Reglamente nenurodyta, kaip tarifai turėtų būti taikomi vidiniame taške ir ar turėtų būti skaičiuojami už pajėgumus ar už kiekį. Ši studija aprašo skirtingas pajėgumų užsakymo schemas, kurios galėtų būti taikomos vidiniame taške:</w:t>
            </w:r>
          </w:p>
          <w:p w:rsidR="006448C1" w:rsidRPr="00645DBD" w:rsidRDefault="006448C1" w:rsidP="006448C1">
            <w:pPr>
              <w:pStyle w:val="ListParagraph"/>
              <w:numPr>
                <w:ilvl w:val="0"/>
                <w:numId w:val="3"/>
              </w:numPr>
              <w:jc w:val="both"/>
              <w:rPr>
                <w:rFonts w:eastAsia="Times New Roman" w:cs="Arial"/>
                <w:lang w:val="lt-LT"/>
              </w:rPr>
            </w:pPr>
            <w:r w:rsidRPr="00645DBD">
              <w:rPr>
                <w:rFonts w:eastAsia="Times New Roman" w:cs="Arial"/>
                <w:lang w:val="lt-LT"/>
              </w:rPr>
              <w:t>Pajėgumai nepaskirstomi, bet skaičiuojamas tarifas už transportuotą kiekį;</w:t>
            </w:r>
          </w:p>
          <w:p w:rsidR="006448C1" w:rsidRPr="00645DBD" w:rsidRDefault="006448C1" w:rsidP="006448C1">
            <w:pPr>
              <w:pStyle w:val="ListParagraph"/>
              <w:numPr>
                <w:ilvl w:val="0"/>
                <w:numId w:val="3"/>
              </w:numPr>
              <w:jc w:val="both"/>
              <w:rPr>
                <w:rFonts w:eastAsia="Times New Roman" w:cs="Arial"/>
                <w:lang w:val="lt-LT"/>
              </w:rPr>
            </w:pPr>
            <w:r w:rsidRPr="00645DBD">
              <w:rPr>
                <w:rFonts w:eastAsia="Times New Roman" w:cs="Arial"/>
                <w:lang w:val="lt-LT"/>
              </w:rPr>
              <w:t>Pajėgumus užsako sistemos naudotojas;</w:t>
            </w:r>
          </w:p>
          <w:p w:rsidR="006448C1" w:rsidRPr="00645DBD" w:rsidRDefault="006448C1" w:rsidP="006448C1">
            <w:pPr>
              <w:pStyle w:val="ListParagraph"/>
              <w:numPr>
                <w:ilvl w:val="0"/>
                <w:numId w:val="3"/>
              </w:numPr>
              <w:jc w:val="both"/>
              <w:rPr>
                <w:rFonts w:eastAsia="Times New Roman" w:cs="Arial"/>
                <w:lang w:val="lt-LT"/>
              </w:rPr>
            </w:pPr>
            <w:r w:rsidRPr="00645DBD">
              <w:rPr>
                <w:rFonts w:eastAsia="Times New Roman" w:cs="Arial"/>
                <w:lang w:val="lt-LT"/>
              </w:rPr>
              <w:t>Pajėgumus užsako prijungtoji šalis (Paskirstymo sistemos operatorius arba tiesiogiai prijungtos vartojimo vietos savininkai).</w:t>
            </w:r>
          </w:p>
        </w:tc>
        <w:tc>
          <w:tcPr>
            <w:tcW w:w="3685" w:type="dxa"/>
          </w:tcPr>
          <w:p w:rsidR="006448C1" w:rsidRPr="00645DBD" w:rsidRDefault="006448C1" w:rsidP="00025C9C">
            <w:pPr>
              <w:jc w:val="both"/>
              <w:rPr>
                <w:rFonts w:eastAsia="Times New Roman" w:cs="Arial"/>
                <w:lang w:val="lt-LT"/>
              </w:rPr>
            </w:pPr>
            <w:r w:rsidRPr="00645DBD">
              <w:rPr>
                <w:rFonts w:eastAsia="Times New Roman" w:cs="Arial"/>
                <w:lang w:val="lt-LT"/>
              </w:rPr>
              <w:t xml:space="preserve">Prašome nurodyti Jums priimtiną </w:t>
            </w:r>
            <w:r w:rsidR="00645DBD">
              <w:rPr>
                <w:rFonts w:eastAsia="Times New Roman" w:cs="Arial"/>
                <w:lang w:val="lt-LT"/>
              </w:rPr>
              <w:t>schemą iš a), b) ir c) variantų</w:t>
            </w:r>
            <w:r w:rsidRPr="00645DBD">
              <w:rPr>
                <w:rFonts w:eastAsia="Times New Roman" w:cs="Arial"/>
                <w:lang w:val="lt-LT"/>
              </w:rPr>
              <w:t xml:space="preserve"> bei pateikti paaiškinimą kodėl šis variantas Jums atrodo geriausias.</w:t>
            </w:r>
          </w:p>
          <w:p w:rsidR="006448C1" w:rsidRPr="00645DBD" w:rsidRDefault="006448C1" w:rsidP="00025C9C">
            <w:pPr>
              <w:jc w:val="both"/>
              <w:rPr>
                <w:rFonts w:eastAsia="Times New Roman" w:cs="Arial"/>
                <w:lang w:val="lt-LT"/>
              </w:rPr>
            </w:pPr>
          </w:p>
        </w:tc>
      </w:tr>
      <w:tr w:rsidR="006448C1" w:rsidRPr="00645DBD" w:rsidTr="00025C9C">
        <w:trPr>
          <w:trHeight w:val="340"/>
        </w:trPr>
        <w:tc>
          <w:tcPr>
            <w:tcW w:w="562" w:type="dxa"/>
          </w:tcPr>
          <w:p w:rsidR="006448C1" w:rsidRPr="00645DBD" w:rsidRDefault="006448C1" w:rsidP="00025C9C">
            <w:pPr>
              <w:rPr>
                <w:rFonts w:eastAsia="Times New Roman" w:cs="Arial"/>
                <w:lang w:val="lt-LT"/>
              </w:rPr>
            </w:pPr>
            <w:r w:rsidRPr="00645DBD">
              <w:rPr>
                <w:rFonts w:eastAsia="Times New Roman" w:cs="Arial"/>
                <w:lang w:val="lt-LT"/>
              </w:rPr>
              <w:t>3</w:t>
            </w:r>
          </w:p>
        </w:tc>
        <w:tc>
          <w:tcPr>
            <w:tcW w:w="5250" w:type="dxa"/>
          </w:tcPr>
          <w:p w:rsidR="006448C1" w:rsidRPr="00645DBD" w:rsidRDefault="006448C1" w:rsidP="00025C9C">
            <w:pPr>
              <w:jc w:val="both"/>
              <w:rPr>
                <w:rFonts w:eastAsia="Times New Roman" w:cs="Arial"/>
                <w:lang w:val="lt-LT"/>
              </w:rPr>
            </w:pPr>
            <w:r w:rsidRPr="00645DBD">
              <w:rPr>
                <w:rFonts w:eastAsia="Times New Roman" w:cs="Arial"/>
                <w:lang w:val="lt-LT"/>
              </w:rPr>
              <w:t xml:space="preserve">Ši analizė išvardina perkrovos valdymo procedūras ir atlaisvintų pajėgumų naudojimo principus. Siūloma, kad nuolatinių pajėgumų atsisakymas, antrinė pajėgumų prekyba ir pertraukiamieji pajėgumai būtų taikomi visuose įleidimo išleidimo taškuose, bet perviršinio rezervavimo ir atpirkimo mechanizmas bei ilgalaikė arba </w:t>
            </w:r>
            <w:r w:rsidR="00645DBD">
              <w:rPr>
                <w:rFonts w:eastAsia="Times New Roman" w:cs="Arial"/>
                <w:lang w:val="lt-LT"/>
              </w:rPr>
              <w:lastRenderedPageBreak/>
              <w:t>trumpalaikė „</w:t>
            </w:r>
            <w:r w:rsidRPr="00645DBD">
              <w:rPr>
                <w:rFonts w:eastAsia="Times New Roman" w:cs="Arial"/>
                <w:lang w:val="lt-LT"/>
              </w:rPr>
              <w:t xml:space="preserve">naudok arba prarask” procedūra būtų taikoma tik sujungimo taškuose kaip reikalauja </w:t>
            </w:r>
            <w:r w:rsidR="00C358C4" w:rsidRPr="00645DBD">
              <w:rPr>
                <w:rFonts w:eastAsia="Times New Roman" w:cs="Arial"/>
                <w:lang w:val="lt-LT"/>
              </w:rPr>
              <w:t>R</w:t>
            </w:r>
            <w:r w:rsidRPr="00645DBD">
              <w:rPr>
                <w:rFonts w:eastAsia="Times New Roman" w:cs="Arial"/>
                <w:lang w:val="lt-LT"/>
              </w:rPr>
              <w:t>eglamentas (13-15 skaidrės)</w:t>
            </w:r>
          </w:p>
          <w:p w:rsidR="006448C1" w:rsidRPr="00645DBD" w:rsidRDefault="006448C1" w:rsidP="00025C9C">
            <w:pPr>
              <w:jc w:val="both"/>
              <w:rPr>
                <w:lang w:val="lt-LT"/>
              </w:rPr>
            </w:pPr>
          </w:p>
        </w:tc>
        <w:tc>
          <w:tcPr>
            <w:tcW w:w="3685" w:type="dxa"/>
          </w:tcPr>
          <w:p w:rsidR="006448C1" w:rsidRPr="00645DBD" w:rsidRDefault="006448C1" w:rsidP="00025C9C">
            <w:pPr>
              <w:jc w:val="both"/>
              <w:rPr>
                <w:rFonts w:eastAsia="Times New Roman" w:cs="Arial"/>
                <w:lang w:val="lt-LT"/>
              </w:rPr>
            </w:pPr>
            <w:r w:rsidRPr="00645DBD">
              <w:rPr>
                <w:rFonts w:eastAsia="Times New Roman" w:cs="Arial"/>
                <w:lang w:val="lt-LT"/>
              </w:rPr>
              <w:lastRenderedPageBreak/>
              <w:t xml:space="preserve">Ar matote poreikį naudoti visas perkrovos valdymo priemones (kaip nurodyta </w:t>
            </w:r>
            <w:r w:rsidR="00C358C4" w:rsidRPr="00645DBD">
              <w:rPr>
                <w:rFonts w:eastAsia="Times New Roman" w:cs="Arial"/>
                <w:lang w:val="lt-LT"/>
              </w:rPr>
              <w:t>R</w:t>
            </w:r>
            <w:r w:rsidRPr="00645DBD">
              <w:rPr>
                <w:rFonts w:eastAsia="Times New Roman" w:cs="Arial"/>
                <w:lang w:val="lt-LT"/>
              </w:rPr>
              <w:t>eglamente) taip pat ir kituose, ne tik sujungimo taškuose?</w:t>
            </w:r>
          </w:p>
          <w:p w:rsidR="006448C1" w:rsidRPr="00645DBD" w:rsidRDefault="006448C1" w:rsidP="00025C9C">
            <w:pPr>
              <w:jc w:val="both"/>
              <w:rPr>
                <w:rFonts w:eastAsia="Times New Roman" w:cs="Arial"/>
                <w:lang w:val="lt-LT"/>
              </w:rPr>
            </w:pPr>
            <w:r w:rsidRPr="00645DBD">
              <w:rPr>
                <w:rFonts w:eastAsia="Times New Roman" w:cs="Arial"/>
                <w:lang w:val="lt-LT"/>
              </w:rPr>
              <w:t>Prašome išsamiai aprašyti savo nuomonę.</w:t>
            </w:r>
          </w:p>
          <w:p w:rsidR="006448C1" w:rsidRPr="00645DBD" w:rsidRDefault="006448C1" w:rsidP="00025C9C">
            <w:pPr>
              <w:jc w:val="both"/>
              <w:rPr>
                <w:rFonts w:eastAsia="Times New Roman" w:cs="Arial"/>
                <w:lang w:val="lt-LT"/>
              </w:rPr>
            </w:pPr>
          </w:p>
        </w:tc>
      </w:tr>
      <w:tr w:rsidR="006448C1" w:rsidRPr="00645DBD" w:rsidTr="00025C9C">
        <w:trPr>
          <w:trHeight w:val="340"/>
        </w:trPr>
        <w:tc>
          <w:tcPr>
            <w:tcW w:w="562" w:type="dxa"/>
          </w:tcPr>
          <w:p w:rsidR="006448C1" w:rsidRPr="00645DBD" w:rsidRDefault="006448C1" w:rsidP="00025C9C">
            <w:pPr>
              <w:rPr>
                <w:rFonts w:eastAsia="Times New Roman" w:cs="Arial"/>
                <w:lang w:val="lt-LT"/>
              </w:rPr>
            </w:pPr>
            <w:r w:rsidRPr="00645DBD">
              <w:rPr>
                <w:rFonts w:eastAsia="Times New Roman" w:cs="Arial"/>
                <w:lang w:val="lt-LT"/>
              </w:rPr>
              <w:lastRenderedPageBreak/>
              <w:t>4</w:t>
            </w:r>
          </w:p>
        </w:tc>
        <w:tc>
          <w:tcPr>
            <w:tcW w:w="5250" w:type="dxa"/>
          </w:tcPr>
          <w:p w:rsidR="006448C1" w:rsidRPr="00645DBD" w:rsidRDefault="006448C1" w:rsidP="00025C9C">
            <w:pPr>
              <w:keepNext/>
              <w:framePr w:hSpace="180" w:wrap="around" w:vAnchor="text" w:hAnchor="text" w:x="392" w:y="1"/>
              <w:jc w:val="both"/>
              <w:rPr>
                <w:rFonts w:eastAsia="Times New Roman" w:cs="Arial"/>
                <w:lang w:val="lt-LT"/>
              </w:rPr>
            </w:pPr>
            <w:r w:rsidRPr="00645DBD">
              <w:rPr>
                <w:rFonts w:eastAsia="Times New Roman" w:cs="Arial"/>
                <w:lang w:val="lt-LT"/>
              </w:rPr>
              <w:t>Šioje studijoje rašoma, kad pajėgumais Baltijos šalių bendroje gamtinių dujų rinkoje, turėtų būti prekiaujama bendroje užsakymų platformoje, kurią turėtų administruoti Rinkos operatorius ir kuri taip pat veiktų kaip viena vieta informacijos, susijusios su balansavimu ir perdavimo paslaugomis, apsikeitimui.</w:t>
            </w:r>
          </w:p>
          <w:p w:rsidR="006448C1" w:rsidRPr="00645DBD" w:rsidRDefault="006448C1" w:rsidP="00025C9C">
            <w:pPr>
              <w:keepNext/>
              <w:framePr w:hSpace="180" w:wrap="around" w:vAnchor="text" w:hAnchor="text" w:x="392" w:y="1"/>
              <w:jc w:val="both"/>
              <w:rPr>
                <w:lang w:val="lt-LT"/>
              </w:rPr>
            </w:pPr>
          </w:p>
        </w:tc>
        <w:tc>
          <w:tcPr>
            <w:tcW w:w="3685" w:type="dxa"/>
          </w:tcPr>
          <w:p w:rsidR="006448C1" w:rsidRPr="00645DBD" w:rsidRDefault="006448C1" w:rsidP="006448C1">
            <w:pPr>
              <w:pStyle w:val="ListParagraph"/>
              <w:framePr w:hSpace="180" w:wrap="around" w:vAnchor="text" w:hAnchor="text" w:x="392" w:y="1"/>
              <w:numPr>
                <w:ilvl w:val="0"/>
                <w:numId w:val="5"/>
              </w:numPr>
              <w:jc w:val="both"/>
              <w:rPr>
                <w:rFonts w:eastAsia="Times New Roman" w:cs="Arial"/>
                <w:lang w:val="lt-LT"/>
              </w:rPr>
            </w:pPr>
            <w:r w:rsidRPr="00645DBD">
              <w:rPr>
                <w:rFonts w:eastAsia="Times New Roman" w:cs="Arial"/>
                <w:lang w:val="lt-LT"/>
              </w:rPr>
              <w:t>Ar pritariate pasiūlymui, kad Rinkos operatorius, prie visų savo pagrindinių funkcijų, taip pat veiktų kaip pajėgumų užsakymo platformos operatorius pajėgumams įleidimo/išleidimo taškuose?</w:t>
            </w:r>
          </w:p>
          <w:p w:rsidR="006448C1" w:rsidRPr="00645DBD" w:rsidRDefault="006448C1" w:rsidP="006448C1">
            <w:pPr>
              <w:pStyle w:val="ListParagraph"/>
              <w:framePr w:hSpace="180" w:wrap="around" w:vAnchor="text" w:hAnchor="text" w:x="392" w:y="1"/>
              <w:numPr>
                <w:ilvl w:val="0"/>
                <w:numId w:val="5"/>
              </w:numPr>
              <w:jc w:val="both"/>
              <w:rPr>
                <w:lang w:val="lt-LT"/>
              </w:rPr>
            </w:pPr>
            <w:r w:rsidRPr="00645DBD">
              <w:rPr>
                <w:lang w:val="lt-LT"/>
              </w:rPr>
              <w:t>Ar skiriate pirmenybę vienam iš šių pajėgumų priskyrimo būdui įleidimo/išleidimo taškuose: (1) pajėgumai būtų paskirstomi bendroje platformoje, administruojamoje Rinkos operatoriaus, ar 2) kiekvienas PSO paskirstyt</w:t>
            </w:r>
            <w:r w:rsidR="00C358C4" w:rsidRPr="00645DBD">
              <w:rPr>
                <w:lang w:val="lt-LT"/>
              </w:rPr>
              <w:t>ų</w:t>
            </w:r>
            <w:r w:rsidRPr="00645DBD">
              <w:rPr>
                <w:lang w:val="lt-LT"/>
              </w:rPr>
              <w:t xml:space="preserve"> savo šalies pajėgumus savo pajėgumų užsakymo platformoje?</w:t>
            </w:r>
          </w:p>
        </w:tc>
      </w:tr>
    </w:tbl>
    <w:p w:rsidR="006448C1" w:rsidRPr="00645DBD" w:rsidRDefault="006448C1" w:rsidP="006448C1">
      <w:pPr>
        <w:spacing w:after="0" w:line="240" w:lineRule="auto"/>
        <w:ind w:left="360"/>
        <w:rPr>
          <w:lang w:val="lt-LT"/>
        </w:rPr>
      </w:pPr>
    </w:p>
    <w:p w:rsidR="006448C1" w:rsidRPr="00645DBD" w:rsidRDefault="006448C1" w:rsidP="006448C1">
      <w:pPr>
        <w:pStyle w:val="ListParagraph"/>
        <w:numPr>
          <w:ilvl w:val="0"/>
          <w:numId w:val="2"/>
        </w:numPr>
        <w:spacing w:after="0" w:line="240" w:lineRule="auto"/>
        <w:jc w:val="both"/>
        <w:rPr>
          <w:lang w:val="lt-LT"/>
        </w:rPr>
      </w:pPr>
      <w:r w:rsidRPr="00645DBD">
        <w:rPr>
          <w:lang w:val="lt-LT"/>
        </w:rPr>
        <w:t>Prašome pateikti savo atsakymus dėl Rinkos operatoriaus įkūrimo alternatyvų.</w:t>
      </w:r>
    </w:p>
    <w:p w:rsidR="006448C1" w:rsidRPr="00645DBD" w:rsidRDefault="006448C1" w:rsidP="006448C1">
      <w:pPr>
        <w:pStyle w:val="ListParagraph"/>
        <w:spacing w:after="0" w:line="240" w:lineRule="auto"/>
        <w:jc w:val="both"/>
        <w:rPr>
          <w:lang w:val="lt-LT"/>
        </w:rPr>
      </w:pPr>
    </w:p>
    <w:tbl>
      <w:tblPr>
        <w:tblStyle w:val="TableGridLight"/>
        <w:tblpPr w:leftFromText="180" w:rightFromText="180" w:vertAnchor="text" w:tblpX="-34" w:tblpY="1"/>
        <w:tblW w:w="9498" w:type="dxa"/>
        <w:tblLayout w:type="fixed"/>
        <w:tblLook w:val="04A0" w:firstRow="1" w:lastRow="0" w:firstColumn="1" w:lastColumn="0" w:noHBand="0" w:noVBand="1"/>
      </w:tblPr>
      <w:tblGrid>
        <w:gridCol w:w="567"/>
        <w:gridCol w:w="5524"/>
        <w:gridCol w:w="3407"/>
      </w:tblGrid>
      <w:tr w:rsidR="006448C1" w:rsidRPr="00645DBD" w:rsidTr="00025C9C">
        <w:trPr>
          <w:trHeight w:val="340"/>
        </w:trPr>
        <w:tc>
          <w:tcPr>
            <w:tcW w:w="567" w:type="dxa"/>
            <w:hideMark/>
          </w:tcPr>
          <w:p w:rsidR="006448C1" w:rsidRPr="00645DBD" w:rsidRDefault="006448C1" w:rsidP="00025C9C">
            <w:pPr>
              <w:keepNext/>
              <w:jc w:val="both"/>
              <w:rPr>
                <w:rFonts w:eastAsia="Times New Roman" w:cs="Arial"/>
                <w:lang w:val="lt-LT"/>
              </w:rPr>
            </w:pPr>
            <w:r w:rsidRPr="00645DBD">
              <w:rPr>
                <w:rFonts w:eastAsia="Times New Roman" w:cs="Arial"/>
                <w:lang w:val="lt-LT"/>
              </w:rPr>
              <w:t>1</w:t>
            </w:r>
          </w:p>
        </w:tc>
        <w:tc>
          <w:tcPr>
            <w:tcW w:w="5524" w:type="dxa"/>
            <w:hideMark/>
          </w:tcPr>
          <w:p w:rsidR="006448C1" w:rsidRPr="00645DBD" w:rsidRDefault="006448C1" w:rsidP="00025C9C">
            <w:pPr>
              <w:jc w:val="both"/>
              <w:rPr>
                <w:lang w:val="lt-LT"/>
              </w:rPr>
            </w:pPr>
            <w:r w:rsidRPr="00645DBD">
              <w:rPr>
                <w:lang w:val="lt-LT"/>
              </w:rPr>
              <w:t>PSO analizavo Rinkos operatoriaus alternatyvas  per kaštų efektyvumo, verslo ir rinkos vystymo, verslo procesų ir valdymo bei įstatymų leidybos perspektyvas, vertindami kiekvienos alternatyvos pranašumus ir trūkumus.</w:t>
            </w:r>
          </w:p>
          <w:p w:rsidR="006448C1" w:rsidRPr="00645DBD" w:rsidRDefault="006448C1" w:rsidP="00025C9C">
            <w:pPr>
              <w:jc w:val="both"/>
              <w:rPr>
                <w:lang w:val="lt-LT"/>
              </w:rPr>
            </w:pPr>
            <w:r w:rsidRPr="00645DBD">
              <w:rPr>
                <w:lang w:val="lt-LT"/>
              </w:rPr>
              <w:t>Pagal atliktą analizę, PSO išskyrė dvi labiausiai tinkamas alternatyvas:</w:t>
            </w:r>
          </w:p>
          <w:p w:rsidR="006448C1" w:rsidRPr="00645DBD" w:rsidRDefault="006448C1" w:rsidP="006448C1">
            <w:pPr>
              <w:pStyle w:val="ListParagraph"/>
              <w:numPr>
                <w:ilvl w:val="0"/>
                <w:numId w:val="1"/>
              </w:numPr>
              <w:jc w:val="both"/>
              <w:rPr>
                <w:lang w:val="lt-LT"/>
              </w:rPr>
            </w:pPr>
            <w:r w:rsidRPr="00645DBD">
              <w:rPr>
                <w:lang w:val="lt-LT"/>
              </w:rPr>
              <w:t>Pirmoji alternatyva – Rinkos operatorius kaip nauja įmonė, nuosavybės teise priklausanti visiems PSO. Balansavimo įsipareigojimai būtų perkeliami naujajai įmonei, kuri veiktų kaip vienintelis kontraktinis ir kontaktinis asmuo visiems bendros rinkos dalyviams Virtualiame Prekybos Taške. Taip pat naujoji įmonė valdytų perdavimo paslaugų portalą.</w:t>
            </w:r>
          </w:p>
          <w:p w:rsidR="006448C1" w:rsidRPr="00645DBD" w:rsidRDefault="006448C1" w:rsidP="00645DBD">
            <w:pPr>
              <w:pStyle w:val="ListParagraph"/>
              <w:numPr>
                <w:ilvl w:val="0"/>
                <w:numId w:val="1"/>
              </w:numPr>
              <w:jc w:val="both"/>
              <w:rPr>
                <w:lang w:val="lt-LT"/>
              </w:rPr>
            </w:pPr>
            <w:r w:rsidRPr="00645DBD">
              <w:rPr>
                <w:lang w:val="lt-LT"/>
              </w:rPr>
              <w:t>Antroji alternatyva – PSO-PSO bendradarbiavimo modelis, kuris numato bendrą IT sprendimą visiems rinkos dalyviams, tačiau</w:t>
            </w:r>
            <w:bookmarkStart w:id="0" w:name="_GoBack"/>
            <w:bookmarkEnd w:id="0"/>
            <w:r w:rsidRPr="00645DBD">
              <w:rPr>
                <w:lang w:val="lt-LT"/>
              </w:rPr>
              <w:t xml:space="preserve"> balansavimo įsipareigojimai nebūtų perduodami, o </w:t>
            </w:r>
            <w:r w:rsidR="00645DBD">
              <w:rPr>
                <w:lang w:val="lt-LT"/>
              </w:rPr>
              <w:t>sutartiniai</w:t>
            </w:r>
            <w:r w:rsidR="00645DBD" w:rsidRPr="00645DBD">
              <w:rPr>
                <w:lang w:val="lt-LT"/>
              </w:rPr>
              <w:t xml:space="preserve"> </w:t>
            </w:r>
            <w:r w:rsidRPr="00645DBD">
              <w:rPr>
                <w:lang w:val="lt-LT"/>
              </w:rPr>
              <w:t>santykiai rinkos dalyviams liktų su PSO. Virtualaus prekybos taško valdymo atsakomybė liktų PSO ir būtų pasidalinta tarp visų operatorių.</w:t>
            </w:r>
            <w:r w:rsidRPr="00645DBD">
              <w:rPr>
                <w:rFonts w:eastAsia="Times New Roman" w:cs="Arial"/>
                <w:lang w:val="lt-LT"/>
              </w:rPr>
              <w:t xml:space="preserve"> </w:t>
            </w:r>
          </w:p>
        </w:tc>
        <w:tc>
          <w:tcPr>
            <w:tcW w:w="3407" w:type="dxa"/>
            <w:hideMark/>
          </w:tcPr>
          <w:p w:rsidR="006448C1" w:rsidRPr="00645DBD" w:rsidRDefault="006448C1" w:rsidP="006448C1">
            <w:pPr>
              <w:pStyle w:val="ListParagraph"/>
              <w:numPr>
                <w:ilvl w:val="0"/>
                <w:numId w:val="6"/>
              </w:numPr>
              <w:jc w:val="both"/>
              <w:rPr>
                <w:rFonts w:eastAsia="Times New Roman" w:cs="Arial"/>
                <w:bCs/>
                <w:lang w:val="lt-LT"/>
              </w:rPr>
            </w:pPr>
            <w:r w:rsidRPr="00645DBD">
              <w:rPr>
                <w:rFonts w:eastAsia="Times New Roman" w:cs="Arial"/>
                <w:bCs/>
                <w:lang w:val="lt-LT"/>
              </w:rPr>
              <w:t xml:space="preserve">Ar teikiate pirmenybė vienai iš išvardintų Rinkos </w:t>
            </w:r>
            <w:r w:rsidRPr="00645DBD">
              <w:rPr>
                <w:lang w:val="lt-LT"/>
              </w:rPr>
              <w:t xml:space="preserve"> </w:t>
            </w:r>
            <w:r w:rsidRPr="00645DBD">
              <w:rPr>
                <w:rFonts w:eastAsia="Times New Roman" w:cs="Arial"/>
                <w:bCs/>
                <w:lang w:val="lt-LT"/>
              </w:rPr>
              <w:t>operatoriaus</w:t>
            </w:r>
            <w:r w:rsidRPr="00645DBD" w:rsidDel="00673442">
              <w:rPr>
                <w:rFonts w:eastAsia="Times New Roman" w:cs="Arial"/>
                <w:bCs/>
                <w:lang w:val="lt-LT"/>
              </w:rPr>
              <w:t xml:space="preserve"> </w:t>
            </w:r>
            <w:r w:rsidRPr="00645DBD">
              <w:rPr>
                <w:rFonts w:eastAsia="Times New Roman" w:cs="Arial"/>
                <w:bCs/>
                <w:lang w:val="lt-LT"/>
              </w:rPr>
              <w:t>alternatyvų? Jei taip, prašome  nurodyti kodėl.</w:t>
            </w:r>
          </w:p>
          <w:p w:rsidR="006448C1" w:rsidRPr="00645DBD" w:rsidRDefault="006448C1" w:rsidP="006448C1">
            <w:pPr>
              <w:pStyle w:val="ListParagraph"/>
              <w:numPr>
                <w:ilvl w:val="0"/>
                <w:numId w:val="6"/>
              </w:numPr>
              <w:jc w:val="both"/>
              <w:rPr>
                <w:rFonts w:eastAsia="Times New Roman" w:cs="Arial"/>
                <w:bCs/>
                <w:lang w:val="lt-LT"/>
              </w:rPr>
            </w:pPr>
            <w:r w:rsidRPr="00645DBD">
              <w:rPr>
                <w:rFonts w:eastAsia="Times New Roman" w:cs="Arial"/>
                <w:bCs/>
                <w:lang w:val="lt-LT"/>
              </w:rPr>
              <w:t xml:space="preserve">Prašome pateikti savo nuomonę apie PSO pasirinktas Rinkos </w:t>
            </w:r>
            <w:r w:rsidRPr="00645DBD">
              <w:rPr>
                <w:lang w:val="lt-LT"/>
              </w:rPr>
              <w:t>operatoriaus</w:t>
            </w:r>
            <w:r w:rsidRPr="00645DBD" w:rsidDel="00C42394">
              <w:rPr>
                <w:rFonts w:eastAsia="Times New Roman" w:cs="Arial"/>
                <w:bCs/>
                <w:lang w:val="lt-LT"/>
              </w:rPr>
              <w:t xml:space="preserve"> </w:t>
            </w:r>
            <w:r w:rsidRPr="00645DBD">
              <w:rPr>
                <w:rFonts w:eastAsia="Times New Roman" w:cs="Arial"/>
                <w:bCs/>
                <w:lang w:val="lt-LT"/>
              </w:rPr>
              <w:t>alternatyvas.</w:t>
            </w:r>
          </w:p>
          <w:p w:rsidR="006448C1" w:rsidRPr="00645DBD" w:rsidRDefault="006448C1" w:rsidP="006448C1">
            <w:pPr>
              <w:pStyle w:val="ListParagraph"/>
              <w:numPr>
                <w:ilvl w:val="0"/>
                <w:numId w:val="6"/>
              </w:numPr>
              <w:jc w:val="both"/>
              <w:rPr>
                <w:rFonts w:eastAsia="Times New Roman" w:cs="Arial"/>
                <w:bCs/>
                <w:lang w:val="lt-LT"/>
              </w:rPr>
            </w:pPr>
            <w:r w:rsidRPr="00645DBD">
              <w:rPr>
                <w:rFonts w:eastAsia="Times New Roman" w:cs="Arial"/>
                <w:bCs/>
                <w:lang w:val="lt-LT"/>
              </w:rPr>
              <w:t>Ar Jūsų nuomone dar yra a</w:t>
            </w:r>
            <w:r w:rsidR="00116363" w:rsidRPr="00645DBD">
              <w:rPr>
                <w:rFonts w:eastAsia="Times New Roman" w:cs="Arial"/>
                <w:bCs/>
                <w:lang w:val="lt-LT"/>
              </w:rPr>
              <w:t>sp</w:t>
            </w:r>
            <w:r w:rsidRPr="00645DBD">
              <w:rPr>
                <w:rFonts w:eastAsia="Times New Roman" w:cs="Arial"/>
                <w:bCs/>
                <w:lang w:val="lt-LT"/>
              </w:rPr>
              <w:t>ektų, kuri</w:t>
            </w:r>
            <w:r w:rsidR="00645DBD">
              <w:rPr>
                <w:rFonts w:eastAsia="Times New Roman" w:cs="Arial"/>
                <w:bCs/>
                <w:lang w:val="lt-LT"/>
              </w:rPr>
              <w:t>u</w:t>
            </w:r>
            <w:r w:rsidRPr="00645DBD">
              <w:rPr>
                <w:rFonts w:eastAsia="Times New Roman" w:cs="Arial"/>
                <w:bCs/>
                <w:lang w:val="lt-LT"/>
              </w:rPr>
              <w:t xml:space="preserve">os reikėtų apsvarstyti renkantis konkrečią Rinkos </w:t>
            </w:r>
            <w:r w:rsidR="00645DBD">
              <w:rPr>
                <w:rFonts w:eastAsia="Times New Roman" w:cs="Arial"/>
                <w:bCs/>
                <w:lang w:val="lt-LT"/>
              </w:rPr>
              <w:t xml:space="preserve"> </w:t>
            </w:r>
            <w:r w:rsidRPr="00645DBD">
              <w:rPr>
                <w:lang w:val="lt-LT"/>
              </w:rPr>
              <w:t>operatoriaus</w:t>
            </w:r>
            <w:r w:rsidRPr="00645DBD" w:rsidDel="00C42394">
              <w:rPr>
                <w:rFonts w:eastAsia="Times New Roman" w:cs="Arial"/>
                <w:bCs/>
                <w:lang w:val="lt-LT"/>
              </w:rPr>
              <w:t xml:space="preserve"> </w:t>
            </w:r>
            <w:r w:rsidRPr="00645DBD">
              <w:rPr>
                <w:rFonts w:eastAsia="Times New Roman" w:cs="Arial"/>
                <w:bCs/>
                <w:lang w:val="lt-LT"/>
              </w:rPr>
              <w:t>alternatyvą?</w:t>
            </w:r>
          </w:p>
          <w:p w:rsidR="006448C1" w:rsidRPr="00645DBD" w:rsidRDefault="006448C1" w:rsidP="00025C9C">
            <w:pPr>
              <w:pStyle w:val="ListParagraph"/>
              <w:ind w:left="360"/>
              <w:jc w:val="both"/>
              <w:rPr>
                <w:rFonts w:eastAsia="Times New Roman" w:cs="Arial"/>
                <w:lang w:val="lt-LT"/>
              </w:rPr>
            </w:pPr>
          </w:p>
        </w:tc>
      </w:tr>
    </w:tbl>
    <w:p w:rsidR="006448C1" w:rsidRPr="00645DBD" w:rsidRDefault="006448C1" w:rsidP="006448C1">
      <w:pPr>
        <w:spacing w:after="0" w:line="240" w:lineRule="auto"/>
        <w:jc w:val="both"/>
        <w:rPr>
          <w:lang w:val="lt-LT"/>
        </w:rPr>
      </w:pPr>
    </w:p>
    <w:p w:rsidR="00645DBD" w:rsidRPr="00645DBD" w:rsidRDefault="00645DBD" w:rsidP="00645DBD">
      <w:pPr>
        <w:spacing w:after="0" w:line="240" w:lineRule="auto"/>
        <w:ind w:left="360"/>
        <w:jc w:val="both"/>
        <w:rPr>
          <w:lang w:val="lt-LT"/>
        </w:rPr>
      </w:pPr>
    </w:p>
    <w:p w:rsidR="00645DBD" w:rsidRPr="00645DBD" w:rsidRDefault="00645DBD" w:rsidP="00645DBD">
      <w:pPr>
        <w:spacing w:after="0" w:line="240" w:lineRule="auto"/>
        <w:ind w:left="360"/>
        <w:jc w:val="both"/>
        <w:rPr>
          <w:lang w:val="lt-LT"/>
        </w:rPr>
      </w:pPr>
    </w:p>
    <w:p w:rsidR="006448C1" w:rsidRPr="00645DBD" w:rsidRDefault="006448C1" w:rsidP="006448C1">
      <w:pPr>
        <w:pStyle w:val="ListParagraph"/>
        <w:numPr>
          <w:ilvl w:val="0"/>
          <w:numId w:val="2"/>
        </w:numPr>
        <w:spacing w:after="0" w:line="240" w:lineRule="auto"/>
        <w:jc w:val="both"/>
        <w:rPr>
          <w:lang w:val="lt-LT"/>
        </w:rPr>
      </w:pPr>
      <w:r w:rsidRPr="00645DBD">
        <w:rPr>
          <w:lang w:val="lt-LT"/>
        </w:rPr>
        <w:t>Prašome pateikti savo atsakymus dėl Bendros balansavimo zonos modelio koncepcijos analizės.</w:t>
      </w:r>
    </w:p>
    <w:p w:rsidR="006448C1" w:rsidRPr="00645DBD" w:rsidRDefault="006448C1" w:rsidP="006448C1">
      <w:pPr>
        <w:pStyle w:val="ListParagraph"/>
        <w:spacing w:after="0" w:line="240" w:lineRule="auto"/>
        <w:jc w:val="both"/>
        <w:rPr>
          <w:lang w:val="lt-LT"/>
        </w:rPr>
      </w:pPr>
    </w:p>
    <w:tbl>
      <w:tblPr>
        <w:tblStyle w:val="TableGridLight"/>
        <w:tblW w:w="12762" w:type="dxa"/>
        <w:tblLayout w:type="fixed"/>
        <w:tblLook w:val="04A0" w:firstRow="1" w:lastRow="0" w:firstColumn="1" w:lastColumn="0" w:noHBand="0" w:noVBand="1"/>
      </w:tblPr>
      <w:tblGrid>
        <w:gridCol w:w="567"/>
        <w:gridCol w:w="5665"/>
        <w:gridCol w:w="3265"/>
        <w:gridCol w:w="3265"/>
      </w:tblGrid>
      <w:tr w:rsidR="006448C1" w:rsidRPr="00645DBD" w:rsidTr="00025C9C">
        <w:trPr>
          <w:trHeight w:val="295"/>
        </w:trPr>
        <w:tc>
          <w:tcPr>
            <w:tcW w:w="567" w:type="dxa"/>
          </w:tcPr>
          <w:p w:rsidR="006448C1" w:rsidRPr="00645DBD" w:rsidRDefault="006448C1" w:rsidP="00025C9C">
            <w:pPr>
              <w:jc w:val="both"/>
              <w:rPr>
                <w:rFonts w:eastAsia="Times New Roman" w:cs="Arial"/>
                <w:lang w:val="lt-LT"/>
              </w:rPr>
            </w:pPr>
            <w:r w:rsidRPr="00645DBD">
              <w:rPr>
                <w:rFonts w:eastAsia="Times New Roman" w:cs="Arial"/>
                <w:lang w:val="lt-LT"/>
              </w:rPr>
              <w:t>Nr.</w:t>
            </w:r>
          </w:p>
        </w:tc>
        <w:tc>
          <w:tcPr>
            <w:tcW w:w="5665" w:type="dxa"/>
          </w:tcPr>
          <w:p w:rsidR="006448C1" w:rsidRPr="00645DBD" w:rsidRDefault="006448C1" w:rsidP="00025C9C">
            <w:pPr>
              <w:jc w:val="both"/>
              <w:rPr>
                <w:rFonts w:eastAsia="Times New Roman" w:cs="Arial"/>
                <w:lang w:val="lt-LT"/>
              </w:rPr>
            </w:pPr>
            <w:r w:rsidRPr="00645DBD">
              <w:rPr>
                <w:rFonts w:eastAsia="Times New Roman" w:cs="Arial"/>
                <w:lang w:val="lt-LT"/>
              </w:rPr>
              <w:t>Aprašymas</w:t>
            </w:r>
          </w:p>
        </w:tc>
        <w:tc>
          <w:tcPr>
            <w:tcW w:w="3265" w:type="dxa"/>
          </w:tcPr>
          <w:p w:rsidR="006448C1" w:rsidRPr="00645DBD" w:rsidRDefault="006448C1" w:rsidP="00025C9C">
            <w:pPr>
              <w:jc w:val="both"/>
              <w:rPr>
                <w:rFonts w:eastAsia="Times New Roman" w:cs="Arial"/>
                <w:lang w:val="lt-LT"/>
              </w:rPr>
            </w:pPr>
            <w:r w:rsidRPr="00645DBD">
              <w:rPr>
                <w:rFonts w:eastAsia="Times New Roman" w:cs="Arial"/>
                <w:lang w:val="lt-LT"/>
              </w:rPr>
              <w:t>Klausimas</w:t>
            </w:r>
          </w:p>
        </w:tc>
        <w:tc>
          <w:tcPr>
            <w:tcW w:w="3265" w:type="dxa"/>
          </w:tcPr>
          <w:p w:rsidR="006448C1" w:rsidRPr="00645DBD" w:rsidRDefault="006448C1" w:rsidP="00025C9C">
            <w:pPr>
              <w:jc w:val="both"/>
              <w:rPr>
                <w:rFonts w:eastAsia="Times New Roman" w:cs="Arial"/>
                <w:lang w:val="lt-LT"/>
              </w:rPr>
            </w:pPr>
          </w:p>
        </w:tc>
      </w:tr>
      <w:tr w:rsidR="006448C1" w:rsidRPr="00645DBD" w:rsidTr="00025C9C">
        <w:trPr>
          <w:trHeight w:val="1698"/>
        </w:trPr>
        <w:tc>
          <w:tcPr>
            <w:tcW w:w="567" w:type="dxa"/>
          </w:tcPr>
          <w:p w:rsidR="006448C1" w:rsidRPr="00645DBD" w:rsidRDefault="006448C1" w:rsidP="00025C9C">
            <w:pPr>
              <w:jc w:val="both"/>
              <w:rPr>
                <w:rFonts w:eastAsia="Times New Roman" w:cs="Arial"/>
                <w:lang w:val="lt-LT"/>
              </w:rPr>
            </w:pPr>
            <w:r w:rsidRPr="00645DBD">
              <w:rPr>
                <w:rFonts w:eastAsia="Times New Roman" w:cs="Arial"/>
                <w:lang w:val="lt-LT"/>
              </w:rPr>
              <w:t>1</w:t>
            </w:r>
          </w:p>
        </w:tc>
        <w:tc>
          <w:tcPr>
            <w:tcW w:w="5665" w:type="dxa"/>
          </w:tcPr>
          <w:p w:rsidR="006448C1" w:rsidRPr="00645DBD" w:rsidRDefault="006448C1" w:rsidP="00025C9C">
            <w:pPr>
              <w:jc w:val="both"/>
              <w:rPr>
                <w:rFonts w:cs="Arial"/>
                <w:lang w:val="lt-LT"/>
              </w:rPr>
            </w:pPr>
            <w:r w:rsidRPr="00645DBD">
              <w:rPr>
                <w:rFonts w:cs="Arial"/>
                <w:lang w:val="lt-LT"/>
              </w:rPr>
              <w:t>Balansavimo zona reiškia įleidimo/išleidimo taškų sistemą, kuriai taikomas nustatytas balansavimo r</w:t>
            </w:r>
            <w:r w:rsidR="00116363" w:rsidRPr="00645DBD">
              <w:rPr>
                <w:rFonts w:cs="Arial"/>
                <w:lang w:val="lt-LT"/>
              </w:rPr>
              <w:t>e</w:t>
            </w:r>
            <w:r w:rsidRPr="00645DBD">
              <w:rPr>
                <w:rFonts w:cs="Arial"/>
                <w:lang w:val="lt-LT"/>
              </w:rPr>
              <w:t>žimas. Norint sukurti bendrą balansavimo zoną turi būti sukurtos ir pritaikytos harmonizuotos (vienos) balansavimo taisyklės, bei taikomas vienodas disbalanso apmokestinimas.</w:t>
            </w:r>
          </w:p>
        </w:tc>
        <w:tc>
          <w:tcPr>
            <w:tcW w:w="3265" w:type="dxa"/>
          </w:tcPr>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r w:rsidRPr="00645DBD">
              <w:rPr>
                <w:rFonts w:asciiTheme="minorHAnsi" w:hAnsiTheme="minorHAnsi" w:cs="Arial"/>
                <w:b w:val="0"/>
                <w:color w:val="auto"/>
                <w:sz w:val="22"/>
                <w:lang w:val="lt-LT"/>
              </w:rPr>
              <w:t>Ar pritariate bendros balansavimo zonos sukūrimui?</w:t>
            </w:r>
          </w:p>
          <w:p w:rsidR="006448C1" w:rsidRPr="00645DBD" w:rsidRDefault="006448C1" w:rsidP="00025C9C">
            <w:pPr>
              <w:jc w:val="both"/>
              <w:rPr>
                <w:lang w:val="lt-LT"/>
              </w:rPr>
            </w:pPr>
            <w:r w:rsidRPr="00645DBD">
              <w:rPr>
                <w:lang w:val="lt-LT"/>
              </w:rPr>
              <w:t>Pateikite savo nuomonę.</w:t>
            </w:r>
          </w:p>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p>
        </w:tc>
        <w:tc>
          <w:tcPr>
            <w:tcW w:w="3265" w:type="dxa"/>
          </w:tcPr>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p>
        </w:tc>
      </w:tr>
      <w:tr w:rsidR="006448C1" w:rsidRPr="00645DBD" w:rsidTr="00025C9C">
        <w:trPr>
          <w:trHeight w:val="340"/>
        </w:trPr>
        <w:tc>
          <w:tcPr>
            <w:tcW w:w="567" w:type="dxa"/>
          </w:tcPr>
          <w:p w:rsidR="006448C1" w:rsidRPr="00645DBD" w:rsidRDefault="006448C1" w:rsidP="00025C9C">
            <w:pPr>
              <w:jc w:val="both"/>
              <w:rPr>
                <w:rFonts w:eastAsia="Times New Roman" w:cs="Arial"/>
                <w:lang w:val="lt-LT"/>
              </w:rPr>
            </w:pPr>
            <w:r w:rsidRPr="00645DBD">
              <w:rPr>
                <w:rFonts w:eastAsia="Times New Roman" w:cs="Arial"/>
                <w:lang w:val="lt-LT"/>
              </w:rPr>
              <w:t>2</w:t>
            </w:r>
          </w:p>
        </w:tc>
        <w:tc>
          <w:tcPr>
            <w:tcW w:w="5665" w:type="dxa"/>
          </w:tcPr>
          <w:p w:rsidR="006448C1" w:rsidRPr="00645DBD" w:rsidRDefault="006448C1" w:rsidP="00025C9C">
            <w:pPr>
              <w:jc w:val="both"/>
              <w:rPr>
                <w:rFonts w:cs="Arial"/>
                <w:lang w:val="lt-LT"/>
              </w:rPr>
            </w:pPr>
            <w:r w:rsidRPr="00645DBD">
              <w:rPr>
                <w:rFonts w:cs="Arial"/>
                <w:lang w:val="lt-LT"/>
              </w:rPr>
              <w:t>Modelio koncepcijoje aprašomos funkcijos (12 skaidrėje), kurios turės būti teikiamos centralizuotai.</w:t>
            </w:r>
          </w:p>
          <w:p w:rsidR="006448C1" w:rsidRPr="00645DBD" w:rsidRDefault="006448C1" w:rsidP="006448C1">
            <w:pPr>
              <w:pStyle w:val="ListParagraph"/>
              <w:numPr>
                <w:ilvl w:val="0"/>
                <w:numId w:val="8"/>
              </w:numPr>
              <w:jc w:val="both"/>
              <w:rPr>
                <w:rFonts w:cs="Arial"/>
                <w:lang w:val="lt-LT"/>
              </w:rPr>
            </w:pPr>
            <w:r w:rsidRPr="00645DBD">
              <w:rPr>
                <w:rFonts w:cs="Arial"/>
                <w:lang w:val="lt-LT"/>
              </w:rPr>
              <w:t>balansavimo valdymas, disbalanso apmokėjimas, duomenų teikimas ir techninis balansavimas - kaip Rinkos operatoriaus pagrindinės funkcijos.</w:t>
            </w:r>
          </w:p>
          <w:p w:rsidR="006448C1" w:rsidRPr="00645DBD" w:rsidRDefault="006448C1" w:rsidP="006448C1">
            <w:pPr>
              <w:pStyle w:val="ListParagraph"/>
              <w:numPr>
                <w:ilvl w:val="0"/>
                <w:numId w:val="8"/>
              </w:numPr>
              <w:jc w:val="both"/>
              <w:rPr>
                <w:rFonts w:cs="Arial"/>
                <w:lang w:val="lt-LT"/>
              </w:rPr>
            </w:pPr>
            <w:r w:rsidRPr="00645DBD">
              <w:rPr>
                <w:rFonts w:cs="Arial"/>
                <w:lang w:val="lt-LT"/>
              </w:rPr>
              <w:t>Nominacijų priėmimas ir dujų srautų priskyrimas įleidimo/išleidimo taškuose.</w:t>
            </w:r>
          </w:p>
          <w:p w:rsidR="006448C1" w:rsidRPr="00645DBD" w:rsidRDefault="006448C1" w:rsidP="006448C1">
            <w:pPr>
              <w:pStyle w:val="ListParagraph"/>
              <w:numPr>
                <w:ilvl w:val="0"/>
                <w:numId w:val="8"/>
              </w:numPr>
              <w:jc w:val="both"/>
              <w:rPr>
                <w:rFonts w:cs="Arial"/>
                <w:lang w:val="lt-LT"/>
              </w:rPr>
            </w:pPr>
            <w:r w:rsidRPr="00645DBD">
              <w:rPr>
                <w:rFonts w:cs="Arial"/>
                <w:lang w:val="lt-LT"/>
              </w:rPr>
              <w:t xml:space="preserve">Įleidimo ir išleidimo pajėgumų paskirstymo organizavimas kaip papildomos Rinkos </w:t>
            </w:r>
            <w:r w:rsidRPr="00645DBD">
              <w:rPr>
                <w:lang w:val="lt-LT"/>
              </w:rPr>
              <w:t>operatoriaus</w:t>
            </w:r>
            <w:r w:rsidRPr="00645DBD" w:rsidDel="00C42394">
              <w:rPr>
                <w:rFonts w:cs="Arial"/>
                <w:lang w:val="lt-LT"/>
              </w:rPr>
              <w:t xml:space="preserve"> </w:t>
            </w:r>
            <w:r w:rsidRPr="00645DBD">
              <w:rPr>
                <w:rFonts w:cs="Arial"/>
                <w:lang w:val="lt-LT"/>
              </w:rPr>
              <w:t>funkcijos.</w:t>
            </w:r>
          </w:p>
          <w:p w:rsidR="006448C1" w:rsidRPr="00645DBD" w:rsidRDefault="006448C1" w:rsidP="00025C9C">
            <w:pPr>
              <w:pStyle w:val="ListParagraph"/>
              <w:jc w:val="both"/>
              <w:rPr>
                <w:lang w:val="lt-LT"/>
              </w:rPr>
            </w:pPr>
          </w:p>
        </w:tc>
        <w:tc>
          <w:tcPr>
            <w:tcW w:w="3265" w:type="dxa"/>
          </w:tcPr>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r w:rsidRPr="00645DBD">
              <w:rPr>
                <w:rFonts w:asciiTheme="minorHAnsi" w:hAnsiTheme="minorHAnsi" w:cs="Arial"/>
                <w:b w:val="0"/>
                <w:color w:val="auto"/>
                <w:sz w:val="22"/>
                <w:lang w:val="lt-LT"/>
              </w:rPr>
              <w:t>Ar pritariate, kad visos išvardintos funkcijos PSO būtų valdomos centralizuotai bent jau per bendrą internetinio tinklo prieigą?</w:t>
            </w:r>
          </w:p>
          <w:p w:rsidR="006448C1" w:rsidRPr="00645DBD" w:rsidRDefault="006448C1" w:rsidP="00025C9C">
            <w:pPr>
              <w:jc w:val="both"/>
              <w:rPr>
                <w:lang w:val="lt-LT"/>
              </w:rPr>
            </w:pPr>
            <w:r w:rsidRPr="00645DBD">
              <w:rPr>
                <w:lang w:val="lt-LT"/>
              </w:rPr>
              <w:t>Pateikite savo nuomonę.</w:t>
            </w:r>
          </w:p>
          <w:p w:rsidR="006448C1" w:rsidRPr="00645DBD" w:rsidRDefault="006448C1" w:rsidP="00025C9C">
            <w:pPr>
              <w:jc w:val="both"/>
              <w:rPr>
                <w:lang w:val="lt-LT"/>
              </w:rPr>
            </w:pPr>
            <w:r w:rsidRPr="00645DBD">
              <w:rPr>
                <w:lang w:val="lt-LT"/>
              </w:rPr>
              <w:t>Ar manote, kad yra daugiau funkcijų, kurios turėtų būti valdomos centralizuotai?</w:t>
            </w:r>
          </w:p>
          <w:p w:rsidR="006448C1" w:rsidRPr="00645DBD" w:rsidRDefault="006448C1" w:rsidP="00025C9C">
            <w:pPr>
              <w:jc w:val="both"/>
              <w:rPr>
                <w:rFonts w:cs="Arial"/>
                <w:lang w:val="lt-LT"/>
              </w:rPr>
            </w:pPr>
          </w:p>
        </w:tc>
        <w:tc>
          <w:tcPr>
            <w:tcW w:w="3265" w:type="dxa"/>
          </w:tcPr>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p>
        </w:tc>
      </w:tr>
      <w:tr w:rsidR="006448C1" w:rsidRPr="00645DBD" w:rsidTr="00025C9C">
        <w:trPr>
          <w:trHeight w:val="340"/>
        </w:trPr>
        <w:tc>
          <w:tcPr>
            <w:tcW w:w="567" w:type="dxa"/>
          </w:tcPr>
          <w:p w:rsidR="006448C1" w:rsidRPr="00645DBD" w:rsidRDefault="006448C1" w:rsidP="00025C9C">
            <w:pPr>
              <w:jc w:val="both"/>
              <w:rPr>
                <w:rFonts w:eastAsia="Times New Roman" w:cs="Arial"/>
                <w:lang w:val="lt-LT"/>
              </w:rPr>
            </w:pPr>
            <w:r w:rsidRPr="00645DBD">
              <w:rPr>
                <w:rFonts w:eastAsia="Times New Roman" w:cs="Arial"/>
                <w:lang w:val="lt-LT"/>
              </w:rPr>
              <w:t>3</w:t>
            </w:r>
          </w:p>
        </w:tc>
        <w:tc>
          <w:tcPr>
            <w:tcW w:w="5665" w:type="dxa"/>
          </w:tcPr>
          <w:p w:rsidR="006448C1" w:rsidRPr="00645DBD" w:rsidRDefault="006448C1" w:rsidP="00025C9C">
            <w:pPr>
              <w:framePr w:hSpace="180" w:wrap="around" w:vAnchor="text" w:hAnchor="text" w:x="392" w:y="1"/>
              <w:suppressOverlap/>
              <w:jc w:val="both"/>
              <w:rPr>
                <w:rFonts w:cs="Arial"/>
                <w:lang w:val="lt-LT"/>
              </w:rPr>
            </w:pPr>
            <w:r w:rsidRPr="00645DBD">
              <w:rPr>
                <w:rFonts w:cs="Arial"/>
                <w:lang w:val="lt-LT"/>
              </w:rPr>
              <w:t xml:space="preserve">Šis modelis (14 skaidrėje) aprašo preliminarius duomenų apsikeitimo variantus tarp rinkos dalyvių ir PSO (Rinkos </w:t>
            </w:r>
            <w:r w:rsidRPr="00645DBD">
              <w:rPr>
                <w:lang w:val="lt-LT"/>
              </w:rPr>
              <w:t xml:space="preserve"> operatoriaus</w:t>
            </w:r>
            <w:r w:rsidRPr="00645DBD">
              <w:rPr>
                <w:rFonts w:cs="Arial"/>
                <w:lang w:val="lt-LT"/>
              </w:rPr>
              <w:t>).</w:t>
            </w:r>
          </w:p>
          <w:p w:rsidR="006448C1" w:rsidRPr="00645DBD" w:rsidRDefault="006448C1" w:rsidP="00025C9C">
            <w:pPr>
              <w:framePr w:hSpace="180" w:wrap="around" w:vAnchor="text" w:hAnchor="text" w:x="392" w:y="1"/>
              <w:suppressOverlap/>
              <w:jc w:val="both"/>
              <w:rPr>
                <w:rFonts w:cs="Arial"/>
                <w:lang w:val="lt-LT"/>
              </w:rPr>
            </w:pPr>
            <w:r w:rsidRPr="00645DBD">
              <w:rPr>
                <w:rFonts w:cs="Arial"/>
                <w:u w:val="single"/>
                <w:lang w:val="lt-LT"/>
              </w:rPr>
              <w:t>Variantas A</w:t>
            </w:r>
            <w:r w:rsidRPr="00645DBD">
              <w:rPr>
                <w:rFonts w:cs="Arial"/>
                <w:lang w:val="lt-LT"/>
              </w:rPr>
              <w:t xml:space="preserve"> pateikia viziją, kurioje nominacijos iš sistemos naudotojo ir sandorio pranešimai iš prekybos dalyvio būtų surenkami Rinkos </w:t>
            </w:r>
            <w:r w:rsidRPr="00645DBD">
              <w:rPr>
                <w:lang w:val="lt-LT"/>
              </w:rPr>
              <w:t xml:space="preserve"> operatoriaus</w:t>
            </w:r>
            <w:r w:rsidRPr="00645DBD" w:rsidDel="00C42394">
              <w:rPr>
                <w:rFonts w:cs="Arial"/>
                <w:lang w:val="lt-LT"/>
              </w:rPr>
              <w:t xml:space="preserve"> </w:t>
            </w:r>
            <w:r w:rsidRPr="00645DBD">
              <w:rPr>
                <w:rFonts w:cs="Arial"/>
                <w:lang w:val="lt-LT"/>
              </w:rPr>
              <w:t>(centrinės platformos), kuris perduotų rezultatus PSO ir balansavimo portfelio valdytojui. Šis variantas užtikrintų prekybos operacijų konfidencialumą sistemos naudotojams</w:t>
            </w:r>
          </w:p>
          <w:p w:rsidR="006448C1" w:rsidRPr="00645DBD" w:rsidRDefault="006448C1" w:rsidP="00116363">
            <w:pPr>
              <w:framePr w:hSpace="180" w:wrap="around" w:vAnchor="text" w:hAnchor="text" w:x="392" w:y="1"/>
              <w:suppressOverlap/>
              <w:jc w:val="both"/>
              <w:rPr>
                <w:rFonts w:cs="Arial"/>
                <w:lang w:val="lt-LT"/>
              </w:rPr>
            </w:pPr>
            <w:r w:rsidRPr="00645DBD">
              <w:rPr>
                <w:rFonts w:cs="Arial"/>
                <w:u w:val="single"/>
                <w:lang w:val="lt-LT"/>
              </w:rPr>
              <w:t>Variantas B</w:t>
            </w:r>
            <w:r w:rsidRPr="00645DBD">
              <w:rPr>
                <w:rFonts w:cs="Arial"/>
                <w:lang w:val="lt-LT"/>
              </w:rPr>
              <w:t xml:space="preserve"> pateikia viziją, kurioje nominacijos iš sistemos naudotojų būtų teikiamos Rinkos </w:t>
            </w:r>
            <w:r w:rsidRPr="00645DBD">
              <w:rPr>
                <w:lang w:val="lt-LT"/>
              </w:rPr>
              <w:t>operatoriui</w:t>
            </w:r>
            <w:r w:rsidRPr="00645DBD" w:rsidDel="009A4FB0">
              <w:rPr>
                <w:rFonts w:cs="Arial"/>
                <w:lang w:val="lt-LT"/>
              </w:rPr>
              <w:t xml:space="preserve"> </w:t>
            </w:r>
            <w:r w:rsidRPr="00645DBD">
              <w:rPr>
                <w:rFonts w:cs="Arial"/>
                <w:lang w:val="lt-LT"/>
              </w:rPr>
              <w:t xml:space="preserve">(centrinei platformai) per balansavimo portfelio valdytoją. Sandorio pranešimai dėl prekybos pagal dvišales sutartis būtų teikiami per balansavimo portfelio valdytoją, o sandoriams, kurie atlikti prekybos platformoje - per dujų prekybos operatorių. Kiekvienas balansavimo portfelio valdytojas turėtų tikslią informaciją apie savo portfelį, o Rinkos </w:t>
            </w:r>
            <w:r w:rsidR="00116363" w:rsidRPr="00645DBD">
              <w:rPr>
                <w:rFonts w:cs="Arial"/>
                <w:lang w:val="lt-LT"/>
              </w:rPr>
              <w:t xml:space="preserve">operatorius </w:t>
            </w:r>
            <w:r w:rsidRPr="00645DBD">
              <w:rPr>
                <w:rFonts w:cs="Arial"/>
                <w:lang w:val="lt-LT"/>
              </w:rPr>
              <w:t>(centralizuota platforma) skaičiuotų disbalansą pagal balansavimo portfelius.</w:t>
            </w:r>
          </w:p>
        </w:tc>
        <w:tc>
          <w:tcPr>
            <w:tcW w:w="3265" w:type="dxa"/>
          </w:tcPr>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r w:rsidRPr="00645DBD">
              <w:rPr>
                <w:rFonts w:asciiTheme="minorHAnsi" w:hAnsiTheme="minorHAnsi" w:cs="Arial"/>
                <w:b w:val="0"/>
                <w:color w:val="auto"/>
                <w:sz w:val="22"/>
                <w:lang w:val="lt-LT"/>
              </w:rPr>
              <w:t>Prašome pateikti savo nuomonę dėl abiejų variantų.</w:t>
            </w:r>
          </w:p>
        </w:tc>
        <w:tc>
          <w:tcPr>
            <w:tcW w:w="3265" w:type="dxa"/>
          </w:tcPr>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p>
        </w:tc>
      </w:tr>
      <w:tr w:rsidR="006448C1" w:rsidRPr="00645DBD" w:rsidTr="00025C9C">
        <w:trPr>
          <w:trHeight w:val="340"/>
        </w:trPr>
        <w:tc>
          <w:tcPr>
            <w:tcW w:w="567" w:type="dxa"/>
          </w:tcPr>
          <w:p w:rsidR="006448C1" w:rsidRPr="00645DBD" w:rsidRDefault="006448C1" w:rsidP="00025C9C">
            <w:pPr>
              <w:jc w:val="both"/>
              <w:rPr>
                <w:rFonts w:eastAsia="Times New Roman" w:cs="Arial"/>
                <w:lang w:val="lt-LT"/>
              </w:rPr>
            </w:pPr>
            <w:r w:rsidRPr="00645DBD">
              <w:rPr>
                <w:rFonts w:eastAsia="Times New Roman" w:cs="Arial"/>
                <w:lang w:val="lt-LT"/>
              </w:rPr>
              <w:t>4</w:t>
            </w:r>
          </w:p>
        </w:tc>
        <w:tc>
          <w:tcPr>
            <w:tcW w:w="5665" w:type="dxa"/>
          </w:tcPr>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r w:rsidRPr="00645DBD">
              <w:rPr>
                <w:rFonts w:asciiTheme="minorHAnsi" w:hAnsiTheme="minorHAnsi" w:cs="Arial"/>
                <w:b w:val="0"/>
                <w:color w:val="auto"/>
                <w:sz w:val="22"/>
                <w:lang w:val="lt-LT"/>
              </w:rPr>
              <w:t>Šios analizės 22 skaidrėje aprašyti trumpalaikiai standartizuoti produktai skirti vykdyti balansavimo veiklą.</w:t>
            </w:r>
          </w:p>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p>
        </w:tc>
        <w:tc>
          <w:tcPr>
            <w:tcW w:w="3265" w:type="dxa"/>
          </w:tcPr>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r w:rsidRPr="00645DBD">
              <w:rPr>
                <w:rFonts w:asciiTheme="minorHAnsi" w:hAnsiTheme="minorHAnsi" w:cs="Arial"/>
                <w:b w:val="0"/>
                <w:color w:val="auto"/>
                <w:sz w:val="22"/>
                <w:lang w:val="lt-LT"/>
              </w:rPr>
              <w:t>Prašome pateikti savo nuomonę kokie trumpalaikiai produktai turėtų būti naudojami dienai prieš ir einamajai parai.</w:t>
            </w:r>
          </w:p>
        </w:tc>
        <w:tc>
          <w:tcPr>
            <w:tcW w:w="3265" w:type="dxa"/>
          </w:tcPr>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p>
        </w:tc>
      </w:tr>
      <w:tr w:rsidR="006448C1" w:rsidRPr="00645DBD" w:rsidTr="00025C9C">
        <w:trPr>
          <w:trHeight w:val="340"/>
        </w:trPr>
        <w:tc>
          <w:tcPr>
            <w:tcW w:w="567" w:type="dxa"/>
          </w:tcPr>
          <w:p w:rsidR="006448C1" w:rsidRPr="00645DBD" w:rsidRDefault="006448C1" w:rsidP="00025C9C">
            <w:pPr>
              <w:jc w:val="both"/>
              <w:rPr>
                <w:rFonts w:eastAsia="Times New Roman" w:cs="Arial"/>
                <w:lang w:val="lt-LT"/>
              </w:rPr>
            </w:pPr>
            <w:r w:rsidRPr="00645DBD">
              <w:rPr>
                <w:rFonts w:eastAsia="Times New Roman" w:cs="Arial"/>
                <w:lang w:val="lt-LT"/>
              </w:rPr>
              <w:t>5</w:t>
            </w:r>
          </w:p>
        </w:tc>
        <w:tc>
          <w:tcPr>
            <w:tcW w:w="5665" w:type="dxa"/>
          </w:tcPr>
          <w:p w:rsidR="006448C1" w:rsidRPr="00645DBD" w:rsidRDefault="006448C1" w:rsidP="00025C9C">
            <w:pPr>
              <w:jc w:val="both"/>
              <w:rPr>
                <w:rFonts w:cs="Arial"/>
                <w:lang w:val="lt-LT"/>
              </w:rPr>
            </w:pPr>
            <w:r w:rsidRPr="00645DBD">
              <w:rPr>
                <w:rFonts w:cs="Arial"/>
                <w:lang w:val="lt-LT"/>
              </w:rPr>
              <w:t>Balansavimo tinklo kodeksas numato keletą variantų, kokia nekasdienės apskaitos informacija turi būti teikiama. Skirtingi informacijos modeliai aprašyti 24 skaidrėje ir pateiktas PSO pasiūlymas taikyti Bazinio atvejo modelį.</w:t>
            </w:r>
          </w:p>
        </w:tc>
        <w:tc>
          <w:tcPr>
            <w:tcW w:w="3265" w:type="dxa"/>
          </w:tcPr>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r w:rsidRPr="00645DBD">
              <w:rPr>
                <w:rFonts w:asciiTheme="minorHAnsi" w:hAnsiTheme="minorHAnsi" w:cs="Arial"/>
                <w:b w:val="0"/>
                <w:color w:val="auto"/>
                <w:sz w:val="22"/>
                <w:lang w:val="lt-LT"/>
              </w:rPr>
              <w:t xml:space="preserve">Ar pritariate, kad </w:t>
            </w:r>
            <w:r w:rsidR="00645DBD">
              <w:rPr>
                <w:rFonts w:asciiTheme="minorHAnsi" w:hAnsiTheme="minorHAnsi" w:cs="Arial"/>
                <w:b w:val="0"/>
                <w:color w:val="auto"/>
                <w:sz w:val="22"/>
                <w:lang w:val="lt-LT"/>
              </w:rPr>
              <w:t>B</w:t>
            </w:r>
            <w:r w:rsidRPr="00645DBD">
              <w:rPr>
                <w:rFonts w:asciiTheme="minorHAnsi" w:hAnsiTheme="minorHAnsi" w:cs="Arial"/>
                <w:b w:val="0"/>
                <w:color w:val="auto"/>
                <w:sz w:val="22"/>
                <w:lang w:val="lt-LT"/>
              </w:rPr>
              <w:t>azinio atvejo modelis turėtų būti pritaikytas Baltijos šalių dujų sistemoje nekasdienei dujų apskaitai?</w:t>
            </w:r>
          </w:p>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p>
        </w:tc>
        <w:tc>
          <w:tcPr>
            <w:tcW w:w="3265" w:type="dxa"/>
          </w:tcPr>
          <w:p w:rsidR="006448C1" w:rsidRPr="00645DBD" w:rsidRDefault="006448C1" w:rsidP="00025C9C">
            <w:pPr>
              <w:pStyle w:val="PECAnxNumHd2"/>
              <w:keepNext w:val="0"/>
              <w:numPr>
                <w:ilvl w:val="0"/>
                <w:numId w:val="0"/>
              </w:numPr>
              <w:spacing w:before="0"/>
              <w:jc w:val="both"/>
              <w:rPr>
                <w:rFonts w:asciiTheme="minorHAnsi" w:hAnsiTheme="minorHAnsi" w:cs="Arial"/>
                <w:b w:val="0"/>
                <w:color w:val="auto"/>
                <w:sz w:val="22"/>
                <w:lang w:val="lt-LT"/>
              </w:rPr>
            </w:pPr>
          </w:p>
        </w:tc>
      </w:tr>
    </w:tbl>
    <w:p w:rsidR="006448C1" w:rsidRPr="00645DBD" w:rsidRDefault="006448C1" w:rsidP="006448C1">
      <w:pPr>
        <w:spacing w:after="0" w:line="240" w:lineRule="auto"/>
        <w:jc w:val="both"/>
        <w:rPr>
          <w:lang w:val="lt-LT"/>
        </w:rPr>
      </w:pPr>
    </w:p>
    <w:p w:rsidR="005664B4" w:rsidRPr="00645DBD" w:rsidRDefault="006448C1" w:rsidP="00944180">
      <w:pPr>
        <w:pStyle w:val="ListParagraph"/>
        <w:numPr>
          <w:ilvl w:val="0"/>
          <w:numId w:val="2"/>
        </w:numPr>
        <w:spacing w:after="0" w:line="240" w:lineRule="auto"/>
        <w:jc w:val="both"/>
        <w:rPr>
          <w:lang w:val="lt-LT"/>
        </w:rPr>
      </w:pPr>
      <w:r w:rsidRPr="00645DBD">
        <w:rPr>
          <w:lang w:val="lt-LT"/>
        </w:rPr>
        <w:t>Jei turite daugiau minčių ar svarstymų dėl šių temų maloniai prašome pasidalinti.</w:t>
      </w:r>
    </w:p>
    <w:sectPr w:rsidR="005664B4" w:rsidRPr="00645DBD">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AE4" w:rsidRDefault="00A91AE4" w:rsidP="006448C1">
      <w:pPr>
        <w:spacing w:after="0" w:line="240" w:lineRule="auto"/>
      </w:pPr>
      <w:r>
        <w:separator/>
      </w:r>
    </w:p>
  </w:endnote>
  <w:endnote w:type="continuationSeparator" w:id="0">
    <w:p w:rsidR="00A91AE4" w:rsidRDefault="00A91AE4" w:rsidP="0064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AE4" w:rsidRDefault="00A91AE4" w:rsidP="006448C1">
      <w:pPr>
        <w:spacing w:after="0" w:line="240" w:lineRule="auto"/>
      </w:pPr>
      <w:r>
        <w:separator/>
      </w:r>
    </w:p>
  </w:footnote>
  <w:footnote w:type="continuationSeparator" w:id="0">
    <w:p w:rsidR="00A91AE4" w:rsidRDefault="00A91AE4" w:rsidP="00644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486"/>
      <w:gridCol w:w="3054"/>
    </w:tblGrid>
    <w:tr w:rsidR="006448C1" w:rsidTr="00025C9C">
      <w:tc>
        <w:tcPr>
          <w:tcW w:w="3162" w:type="dxa"/>
          <w:vAlign w:val="center"/>
        </w:tcPr>
        <w:p w:rsidR="006448C1" w:rsidRDefault="006448C1" w:rsidP="006448C1">
          <w:pPr>
            <w:pStyle w:val="Header"/>
            <w:jc w:val="center"/>
          </w:pPr>
          <w:r w:rsidRPr="00160A8F">
            <w:rPr>
              <w:rFonts w:ascii="Times New Roman" w:hAnsi="Times New Roman" w:cs="Times New Roman"/>
              <w:noProof/>
              <w:lang w:val="lt-LT" w:eastAsia="lt-LT"/>
            </w:rPr>
            <w:drawing>
              <wp:inline distT="0" distB="0" distL="0" distR="0" wp14:anchorId="6387BB53" wp14:editId="692A5AEF">
                <wp:extent cx="1609725" cy="535305"/>
                <wp:effectExtent l="0" t="0" r="9525" b="0"/>
                <wp:docPr id="2" name="Picture 2" descr="http://elering.ee/public/Infokeskus/.thumbnails/Elering_logo_eng_GENERATING_OPPORTUNITIES_520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ring.ee/public/Infokeskus/.thumbnails/Elering_logo_eng_GENERATING_OPPORTUNITIES_520x17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35305"/>
                        </a:xfrm>
                        <a:prstGeom prst="rect">
                          <a:avLst/>
                        </a:prstGeom>
                        <a:noFill/>
                        <a:ln>
                          <a:noFill/>
                        </a:ln>
                      </pic:spPr>
                    </pic:pic>
                  </a:graphicData>
                </a:graphic>
              </wp:inline>
            </w:drawing>
          </w:r>
        </w:p>
      </w:tc>
      <w:tc>
        <w:tcPr>
          <w:tcW w:w="3163" w:type="dxa"/>
          <w:vAlign w:val="center"/>
        </w:tcPr>
        <w:p w:rsidR="006448C1" w:rsidRDefault="006448C1" w:rsidP="006448C1">
          <w:pPr>
            <w:pStyle w:val="Header"/>
            <w:jc w:val="center"/>
          </w:pPr>
          <w:r>
            <w:rPr>
              <w:noProof/>
              <w:lang w:val="lt-LT" w:eastAsia="lt-LT"/>
            </w:rPr>
            <w:drawing>
              <wp:inline distT="0" distB="0" distL="0" distR="0" wp14:anchorId="18EF5F5D" wp14:editId="322A32C6">
                <wp:extent cx="2076450" cy="895350"/>
                <wp:effectExtent l="0" t="0" r="0" b="0"/>
                <wp:docPr id="1" name="Picture 1" descr="C:\Users\kajali.kotsar\Desktop\AJ\Logod\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li.kotsar\Desktop\AJ\Logod\conexu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895350"/>
                        </a:xfrm>
                        <a:prstGeom prst="rect">
                          <a:avLst/>
                        </a:prstGeom>
                        <a:noFill/>
                        <a:ln>
                          <a:noFill/>
                        </a:ln>
                      </pic:spPr>
                    </pic:pic>
                  </a:graphicData>
                </a:graphic>
              </wp:inline>
            </w:drawing>
          </w:r>
        </w:p>
      </w:tc>
      <w:tc>
        <w:tcPr>
          <w:tcW w:w="3163" w:type="dxa"/>
          <w:vAlign w:val="center"/>
        </w:tcPr>
        <w:p w:rsidR="006448C1" w:rsidRDefault="006448C1" w:rsidP="006448C1">
          <w:pPr>
            <w:pStyle w:val="Header"/>
            <w:jc w:val="center"/>
          </w:pPr>
          <w:r>
            <w:rPr>
              <w:noProof/>
              <w:lang w:val="lt-LT" w:eastAsia="lt-LT"/>
            </w:rPr>
            <w:drawing>
              <wp:inline distT="0" distB="0" distL="0" distR="0" wp14:anchorId="17EAB46B" wp14:editId="22182239">
                <wp:extent cx="1447800" cy="638175"/>
                <wp:effectExtent l="0" t="0" r="0" b="9525"/>
                <wp:docPr id="7" name="Picture 7" descr="C:\Users\kajali.kotsar\Desktop\AJ\Logod\AB_Amber_Gr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jali.kotsar\Desktop\AJ\Logod\AB_Amber_Grid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638175"/>
                        </a:xfrm>
                        <a:prstGeom prst="rect">
                          <a:avLst/>
                        </a:prstGeom>
                        <a:noFill/>
                        <a:ln>
                          <a:noFill/>
                        </a:ln>
                      </pic:spPr>
                    </pic:pic>
                  </a:graphicData>
                </a:graphic>
              </wp:inline>
            </w:drawing>
          </w:r>
        </w:p>
      </w:tc>
    </w:tr>
  </w:tbl>
  <w:p w:rsidR="006448C1" w:rsidRDefault="00644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416D"/>
    <w:multiLevelType w:val="multilevel"/>
    <w:tmpl w:val="8EAA770A"/>
    <w:lvl w:ilvl="0">
      <w:start w:val="1"/>
      <w:numFmt w:val="upperLetter"/>
      <w:pStyle w:val="PECAnxNumHd1"/>
      <w:suff w:val="space"/>
      <w:lvlText w:val="Annex %1"/>
      <w:lvlJc w:val="center"/>
      <w:pPr>
        <w:ind w:left="851" w:hanging="142"/>
      </w:pPr>
      <w:rPr>
        <w:rFonts w:ascii="Arial" w:hAnsi="Arial" w:hint="default"/>
        <w:b/>
        <w:i w:val="0"/>
        <w:caps/>
        <w:strike w:val="0"/>
        <w:dstrike w:val="0"/>
        <w:vanish w:val="0"/>
        <w:color w:val="003399"/>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ECAnxNumHd2"/>
      <w:lvlText w:val="%1.%2"/>
      <w:lvlJc w:val="left"/>
      <w:pPr>
        <w:tabs>
          <w:tab w:val="num" w:pos="851"/>
        </w:tabs>
        <w:ind w:left="851" w:hanging="851"/>
      </w:pPr>
      <w:rPr>
        <w:rFonts w:ascii="Arial" w:hAnsi="Arial" w:hint="default"/>
        <w:b/>
        <w:i w:val="0"/>
        <w:caps w:val="0"/>
        <w:strike w:val="0"/>
        <w:dstrike w:val="0"/>
        <w:vanish w:val="0"/>
        <w:color w:val="003399"/>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ECAnxNumHd3"/>
      <w:lvlText w:val="%1.%2.%3"/>
      <w:lvlJc w:val="left"/>
      <w:pPr>
        <w:tabs>
          <w:tab w:val="num" w:pos="851"/>
        </w:tabs>
        <w:ind w:left="851" w:hanging="851"/>
      </w:pPr>
      <w:rPr>
        <w:rFonts w:ascii="Arial" w:hAnsi="Arial" w:hint="default"/>
        <w:b/>
        <w:i/>
        <w:color w:val="003399"/>
        <w:sz w:val="22"/>
      </w:rPr>
    </w:lvl>
    <w:lvl w:ilvl="3">
      <w:start w:val="1"/>
      <w:numFmt w:val="decimal"/>
      <w:pStyle w:val="PECAnxNumHd4"/>
      <w:lvlText w:val="%1.%2.%3.%4"/>
      <w:lvlJc w:val="left"/>
      <w:pPr>
        <w:tabs>
          <w:tab w:val="num" w:pos="851"/>
        </w:tabs>
        <w:ind w:left="851" w:hanging="851"/>
      </w:pPr>
      <w:rPr>
        <w:rFonts w:ascii="Arial" w:hAnsi="Arial" w:hint="default"/>
        <w:b w:val="0"/>
        <w:i/>
        <w:color w:val="003399"/>
        <w:sz w:val="22"/>
      </w:rPr>
    </w:lvl>
    <w:lvl w:ilvl="4">
      <w:start w:val="1"/>
      <w:numFmt w:val="decimal"/>
      <w:lvlText w:val="%1.%2.%3.%4.%5"/>
      <w:lvlJc w:val="left"/>
      <w:pPr>
        <w:tabs>
          <w:tab w:val="num" w:pos="2438"/>
        </w:tabs>
        <w:ind w:left="2438" w:hanging="1008"/>
      </w:pPr>
      <w:rPr>
        <w:rFonts w:hint="default"/>
      </w:rPr>
    </w:lvl>
    <w:lvl w:ilvl="5">
      <w:start w:val="1"/>
      <w:numFmt w:val="decimal"/>
      <w:lvlText w:val="%1.%2.%3.%4.%5.%6"/>
      <w:lvlJc w:val="left"/>
      <w:pPr>
        <w:tabs>
          <w:tab w:val="num" w:pos="2582"/>
        </w:tabs>
        <w:ind w:left="2582" w:hanging="1152"/>
      </w:pPr>
      <w:rPr>
        <w:rFonts w:hint="default"/>
      </w:rPr>
    </w:lvl>
    <w:lvl w:ilvl="6">
      <w:start w:val="1"/>
      <w:numFmt w:val="decimal"/>
      <w:lvlText w:val="%1.%2.%3.%4.%5.%6.%7"/>
      <w:lvlJc w:val="left"/>
      <w:pPr>
        <w:tabs>
          <w:tab w:val="num" w:pos="2726"/>
        </w:tabs>
        <w:ind w:left="2726" w:hanging="1296"/>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14"/>
        </w:tabs>
        <w:ind w:left="3014" w:hanging="1584"/>
      </w:pPr>
      <w:rPr>
        <w:rFonts w:hint="default"/>
      </w:rPr>
    </w:lvl>
  </w:abstractNum>
  <w:abstractNum w:abstractNumId="1" w15:restartNumberingAfterBreak="0">
    <w:nsid w:val="420A45ED"/>
    <w:multiLevelType w:val="hybridMultilevel"/>
    <w:tmpl w:val="4E14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5746C"/>
    <w:multiLevelType w:val="hybridMultilevel"/>
    <w:tmpl w:val="3D90144C"/>
    <w:lvl w:ilvl="0" w:tplc="0425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A17DF3"/>
    <w:multiLevelType w:val="hybridMultilevel"/>
    <w:tmpl w:val="711E1CE6"/>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94123E"/>
    <w:multiLevelType w:val="hybridMultilevel"/>
    <w:tmpl w:val="3D90144C"/>
    <w:lvl w:ilvl="0" w:tplc="0425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F976F7"/>
    <w:multiLevelType w:val="hybridMultilevel"/>
    <w:tmpl w:val="52DADB82"/>
    <w:lvl w:ilvl="0" w:tplc="F364E4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F193F"/>
    <w:multiLevelType w:val="hybridMultilevel"/>
    <w:tmpl w:val="958E1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D7E51"/>
    <w:multiLevelType w:val="hybridMultilevel"/>
    <w:tmpl w:val="C2CA3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1"/>
    <w:rsid w:val="00116363"/>
    <w:rsid w:val="002C4790"/>
    <w:rsid w:val="004D07F0"/>
    <w:rsid w:val="006448C1"/>
    <w:rsid w:val="00645DBD"/>
    <w:rsid w:val="00A91AE4"/>
    <w:rsid w:val="00C358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C39E5-CA84-4C89-8F9F-3FE4C3B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8C1"/>
    <w:rPr>
      <w:lang w:val="en-US"/>
    </w:rPr>
  </w:style>
  <w:style w:type="paragraph" w:styleId="Heading2">
    <w:name w:val="heading 2"/>
    <w:basedOn w:val="Normal"/>
    <w:next w:val="Normal"/>
    <w:link w:val="Heading2Char"/>
    <w:uiPriority w:val="9"/>
    <w:unhideWhenUsed/>
    <w:qFormat/>
    <w:rsid w:val="00644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8C1"/>
    <w:rPr>
      <w:rFonts w:asciiTheme="majorHAnsi" w:eastAsiaTheme="majorEastAsia" w:hAnsiTheme="majorHAnsi" w:cstheme="majorBidi"/>
      <w:color w:val="2E74B5" w:themeColor="accent1" w:themeShade="BF"/>
      <w:sz w:val="26"/>
      <w:szCs w:val="26"/>
      <w:lang w:val="en-US"/>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Ha"/>
    <w:basedOn w:val="Normal"/>
    <w:link w:val="ListParagraphChar"/>
    <w:uiPriority w:val="34"/>
    <w:qFormat/>
    <w:rsid w:val="006448C1"/>
    <w:pPr>
      <w:ind w:left="720"/>
      <w:contextualSpacing/>
    </w:p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locked/>
    <w:rsid w:val="006448C1"/>
    <w:rPr>
      <w:lang w:val="en-US"/>
    </w:rPr>
  </w:style>
  <w:style w:type="table" w:styleId="TableGridLight">
    <w:name w:val="Grid Table Light"/>
    <w:basedOn w:val="TableNormal"/>
    <w:uiPriority w:val="40"/>
    <w:rsid w:val="006448C1"/>
    <w:pPr>
      <w:spacing w:after="0" w:line="240" w:lineRule="auto"/>
    </w:pPr>
    <w:rPr>
      <w:lang w:val="et-E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ECAnxNumHd3">
    <w:name w:val="PEC Anx Num Hd3"/>
    <w:next w:val="Normal"/>
    <w:rsid w:val="006448C1"/>
    <w:pPr>
      <w:keepNext/>
      <w:numPr>
        <w:ilvl w:val="2"/>
        <w:numId w:val="7"/>
      </w:numPr>
      <w:spacing w:before="240" w:after="0" w:line="240" w:lineRule="auto"/>
    </w:pPr>
    <w:rPr>
      <w:rFonts w:ascii="Arial" w:eastAsia="Times New Roman" w:hAnsi="Arial" w:cs="Tahoma"/>
      <w:b/>
      <w:i/>
      <w:color w:val="003399"/>
      <w:szCs w:val="16"/>
      <w:lang w:val="en-GB"/>
    </w:rPr>
  </w:style>
  <w:style w:type="paragraph" w:customStyle="1" w:styleId="PECAnxNumHd4">
    <w:name w:val="PEC Anx Num Hd4"/>
    <w:next w:val="Normal"/>
    <w:rsid w:val="006448C1"/>
    <w:pPr>
      <w:keepNext/>
      <w:numPr>
        <w:ilvl w:val="3"/>
        <w:numId w:val="7"/>
      </w:numPr>
      <w:spacing w:before="240" w:after="0" w:line="240" w:lineRule="auto"/>
    </w:pPr>
    <w:rPr>
      <w:rFonts w:ascii="Arial" w:eastAsia="Times New Roman" w:hAnsi="Arial" w:cs="Times New Roman"/>
      <w:i/>
      <w:color w:val="003399"/>
      <w:szCs w:val="20"/>
      <w:lang w:val="en-GB"/>
    </w:rPr>
  </w:style>
  <w:style w:type="paragraph" w:customStyle="1" w:styleId="PECAnxNumHd1">
    <w:name w:val="PEC Anx Num Hd1"/>
    <w:next w:val="PECAnxNumHd2"/>
    <w:rsid w:val="006448C1"/>
    <w:pPr>
      <w:keepNext/>
      <w:numPr>
        <w:numId w:val="7"/>
      </w:numPr>
      <w:spacing w:before="120" w:after="240" w:line="240" w:lineRule="auto"/>
      <w:jc w:val="center"/>
      <w:outlineLvl w:val="0"/>
    </w:pPr>
    <w:rPr>
      <w:rFonts w:ascii="Arial" w:eastAsia="Times New Roman" w:hAnsi="Arial" w:cs="Times New Roman"/>
      <w:b/>
      <w:caps/>
      <w:color w:val="003399"/>
      <w:sz w:val="32"/>
      <w:szCs w:val="32"/>
      <w:lang w:val="en-GB"/>
    </w:rPr>
  </w:style>
  <w:style w:type="paragraph" w:customStyle="1" w:styleId="PECAnxNumHd2">
    <w:name w:val="PEC Anx Num Hd2"/>
    <w:next w:val="Normal"/>
    <w:rsid w:val="006448C1"/>
    <w:pPr>
      <w:keepNext/>
      <w:numPr>
        <w:ilvl w:val="1"/>
        <w:numId w:val="7"/>
      </w:numPr>
      <w:spacing w:before="240" w:after="0" w:line="240" w:lineRule="auto"/>
    </w:pPr>
    <w:rPr>
      <w:rFonts w:ascii="Arial" w:eastAsia="Times New Roman" w:hAnsi="Arial" w:cs="Times New Roman"/>
      <w:b/>
      <w:color w:val="003399"/>
      <w:sz w:val="26"/>
      <w:lang w:val="en-GB"/>
    </w:rPr>
  </w:style>
  <w:style w:type="paragraph" w:styleId="Header">
    <w:name w:val="header"/>
    <w:basedOn w:val="Normal"/>
    <w:link w:val="HeaderChar"/>
    <w:uiPriority w:val="99"/>
    <w:unhideWhenUsed/>
    <w:rsid w:val="006448C1"/>
    <w:pPr>
      <w:tabs>
        <w:tab w:val="center" w:pos="4819"/>
        <w:tab w:val="right" w:pos="9638"/>
      </w:tabs>
      <w:spacing w:after="0" w:line="240" w:lineRule="auto"/>
    </w:pPr>
  </w:style>
  <w:style w:type="character" w:customStyle="1" w:styleId="HeaderChar">
    <w:name w:val="Header Char"/>
    <w:basedOn w:val="DefaultParagraphFont"/>
    <w:link w:val="Header"/>
    <w:uiPriority w:val="99"/>
    <w:rsid w:val="006448C1"/>
    <w:rPr>
      <w:lang w:val="en-US"/>
    </w:rPr>
  </w:style>
  <w:style w:type="paragraph" w:styleId="Footer">
    <w:name w:val="footer"/>
    <w:basedOn w:val="Normal"/>
    <w:link w:val="FooterChar"/>
    <w:uiPriority w:val="99"/>
    <w:unhideWhenUsed/>
    <w:rsid w:val="006448C1"/>
    <w:pPr>
      <w:tabs>
        <w:tab w:val="center" w:pos="4819"/>
        <w:tab w:val="right" w:pos="9638"/>
      </w:tabs>
      <w:spacing w:after="0" w:line="240" w:lineRule="auto"/>
    </w:pPr>
  </w:style>
  <w:style w:type="character" w:customStyle="1" w:styleId="FooterChar">
    <w:name w:val="Footer Char"/>
    <w:basedOn w:val="DefaultParagraphFont"/>
    <w:link w:val="Footer"/>
    <w:uiPriority w:val="99"/>
    <w:rsid w:val="006448C1"/>
    <w:rPr>
      <w:lang w:val="en-US"/>
    </w:rPr>
  </w:style>
  <w:style w:type="table" w:styleId="TableGrid">
    <w:name w:val="Table Grid"/>
    <w:basedOn w:val="TableNormal"/>
    <w:uiPriority w:val="59"/>
    <w:rsid w:val="006448C1"/>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C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5092</Words>
  <Characters>2903</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Linkaitis</dc:creator>
  <cp:keywords/>
  <dc:description/>
  <cp:lastModifiedBy>Danas Janulionis</cp:lastModifiedBy>
  <cp:revision>3</cp:revision>
  <dcterms:created xsi:type="dcterms:W3CDTF">2017-10-24T08:49:00Z</dcterms:created>
  <dcterms:modified xsi:type="dcterms:W3CDTF">2017-10-24T09:40:00Z</dcterms:modified>
</cp:coreProperties>
</file>