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7E97" w14:textId="6726D1E5" w:rsidR="00B663E9" w:rsidRPr="007537A0" w:rsidRDefault="00E0561D" w:rsidP="00B663E9">
      <w:pPr>
        <w:spacing w:after="160"/>
        <w:rPr>
          <w:rFonts w:ascii="Century Gothic" w:hAnsi="Century Gothic"/>
          <w:b/>
          <w:sz w:val="20"/>
          <w:szCs w:val="20"/>
          <w:lang w:val="lt-LT"/>
        </w:rPr>
      </w:pPr>
      <w:bookmarkStart w:id="0" w:name="_Hlk46235238"/>
      <w:bookmarkStart w:id="1" w:name="_GoBack"/>
      <w:bookmarkEnd w:id="1"/>
      <w:r w:rsidRPr="007537A0">
        <w:rPr>
          <w:rFonts w:ascii="Century Gothic" w:hAnsi="Century Gothic"/>
          <w:b/>
          <w:sz w:val="20"/>
          <w:szCs w:val="20"/>
          <w:lang w:val="lt-LT"/>
        </w:rPr>
        <w:t>Priedas Nr</w:t>
      </w:r>
      <w:r w:rsidR="00B663E9" w:rsidRPr="007537A0">
        <w:rPr>
          <w:rFonts w:ascii="Century Gothic" w:hAnsi="Century Gothic"/>
          <w:b/>
          <w:sz w:val="20"/>
          <w:szCs w:val="20"/>
          <w:lang w:val="lt-LT"/>
        </w:rPr>
        <w:t>. 2</w:t>
      </w:r>
    </w:p>
    <w:bookmarkEnd w:id="0"/>
    <w:p w14:paraId="370CFC1E" w14:textId="77777777" w:rsidR="00B663E9" w:rsidRPr="007537A0" w:rsidRDefault="00B663E9" w:rsidP="00CB3CEE">
      <w:pPr>
        <w:jc w:val="center"/>
        <w:rPr>
          <w:rFonts w:ascii="Century Gothic" w:eastAsia="Times New Roman" w:hAnsi="Century Gothic"/>
          <w:b/>
          <w:bCs/>
          <w:lang w:val="lt-LT"/>
        </w:rPr>
      </w:pPr>
    </w:p>
    <w:p w14:paraId="554B6946" w14:textId="77777777" w:rsidR="00B663E9" w:rsidRPr="007537A0" w:rsidRDefault="00B663E9" w:rsidP="00CB3CEE">
      <w:pPr>
        <w:jc w:val="center"/>
        <w:rPr>
          <w:rFonts w:ascii="Century Gothic" w:eastAsia="Times New Roman" w:hAnsi="Century Gothic"/>
          <w:b/>
          <w:bCs/>
          <w:lang w:val="lt-LT"/>
        </w:rPr>
      </w:pPr>
    </w:p>
    <w:p w14:paraId="713098AA" w14:textId="5AF28BAA" w:rsidR="00347A8C" w:rsidRPr="007537A0" w:rsidRDefault="00E0561D" w:rsidP="00CB3CEE">
      <w:pPr>
        <w:jc w:val="center"/>
        <w:rPr>
          <w:rFonts w:ascii="Century Gothic" w:eastAsia="Times New Roman" w:hAnsi="Century Gothic"/>
          <w:b/>
          <w:bCs/>
          <w:lang w:val="lt-LT"/>
        </w:rPr>
      </w:pPr>
      <w:r w:rsidRPr="007537A0">
        <w:rPr>
          <w:rFonts w:ascii="Century Gothic" w:eastAsia="Times New Roman" w:hAnsi="Century Gothic"/>
          <w:b/>
          <w:bCs/>
          <w:lang w:val="lt-LT"/>
        </w:rPr>
        <w:t>Susietojo pajėgumo paskirstymo modelio aprašymas</w:t>
      </w:r>
    </w:p>
    <w:p w14:paraId="1089F74D" w14:textId="16B973A8" w:rsidR="00B318DC" w:rsidRPr="007537A0" w:rsidRDefault="00B318DC" w:rsidP="002C399E">
      <w:pPr>
        <w:jc w:val="both"/>
        <w:rPr>
          <w:rFonts w:ascii="Century Gothic" w:eastAsia="Times New Roman" w:hAnsi="Century Gothic"/>
          <w:lang w:val="lt-LT"/>
        </w:rPr>
      </w:pPr>
    </w:p>
    <w:p w14:paraId="162E0937" w14:textId="2A5484EC" w:rsidR="006D225E" w:rsidRPr="007537A0" w:rsidRDefault="00E0561D" w:rsidP="002C399E">
      <w:pPr>
        <w:jc w:val="both"/>
        <w:rPr>
          <w:lang w:val="lt-LT"/>
        </w:rPr>
      </w:pPr>
      <w:r w:rsidRPr="007537A0">
        <w:rPr>
          <w:lang w:val="lt-LT"/>
        </w:rPr>
        <w:t>Susiet</w:t>
      </w:r>
      <w:r w:rsidR="00876595">
        <w:rPr>
          <w:lang w:val="lt-LT"/>
        </w:rPr>
        <w:t>asis</w:t>
      </w:r>
      <w:r w:rsidRPr="007537A0">
        <w:rPr>
          <w:lang w:val="lt-LT"/>
        </w:rPr>
        <w:t xml:space="preserve"> pajėgumų paskirstymas (ICA) yra viena iš priemonių nacionalinėms rinkoms integruoti. Be to, ji yra alternatyva pajėgumų aukcionų sistemai, įgyvendinant ES tinklo kodeksą dėl dujų perdavimo sistemų pajėgumų paskirstymo mechanizmų </w:t>
      </w:r>
      <w:r w:rsidR="002C399E" w:rsidRPr="007537A0">
        <w:rPr>
          <w:lang w:val="lt-LT"/>
        </w:rPr>
        <w:t>(CAM</w:t>
      </w:r>
      <w:r w:rsidR="00741B6D" w:rsidRPr="007537A0">
        <w:rPr>
          <w:lang w:val="lt-LT"/>
        </w:rPr>
        <w:t xml:space="preserve"> NC</w:t>
      </w:r>
      <w:r w:rsidR="00B663E9" w:rsidRPr="007537A0">
        <w:rPr>
          <w:rStyle w:val="FootnoteReference"/>
          <w:lang w:val="lt-LT"/>
        </w:rPr>
        <w:footnoteReference w:id="1"/>
      </w:r>
      <w:r w:rsidR="002C399E" w:rsidRPr="007537A0">
        <w:rPr>
          <w:lang w:val="lt-LT"/>
        </w:rPr>
        <w:t>)</w:t>
      </w:r>
      <w:r w:rsidRPr="007537A0">
        <w:rPr>
          <w:lang w:val="lt-LT"/>
        </w:rPr>
        <w:t xml:space="preserve">, </w:t>
      </w:r>
      <w:r w:rsidR="00876595">
        <w:rPr>
          <w:lang w:val="lt-LT"/>
        </w:rPr>
        <w:t>taip pat</w:t>
      </w:r>
      <w:r w:rsidRPr="007537A0">
        <w:rPr>
          <w:lang w:val="lt-LT"/>
        </w:rPr>
        <w:t xml:space="preserve"> gal</w:t>
      </w:r>
      <w:r w:rsidR="00876595">
        <w:rPr>
          <w:lang w:val="lt-LT"/>
        </w:rPr>
        <w:t>i</w:t>
      </w:r>
      <w:r w:rsidRPr="007537A0">
        <w:rPr>
          <w:lang w:val="lt-LT"/>
        </w:rPr>
        <w:t xml:space="preserve"> būti taikoma kartu su pajėgumų aukcionais.</w:t>
      </w:r>
    </w:p>
    <w:p w14:paraId="78CABB33" w14:textId="77777777" w:rsidR="00E0561D" w:rsidRPr="007537A0" w:rsidRDefault="00E0561D" w:rsidP="002C399E">
      <w:pPr>
        <w:jc w:val="both"/>
        <w:rPr>
          <w:lang w:val="lt-LT"/>
        </w:rPr>
      </w:pPr>
    </w:p>
    <w:p w14:paraId="743DBEE2" w14:textId="7C2CB2E1" w:rsidR="00E0561D" w:rsidRPr="007537A0" w:rsidRDefault="00E0561D" w:rsidP="002C399E">
      <w:pPr>
        <w:jc w:val="both"/>
        <w:rPr>
          <w:lang w:val="lt-LT"/>
        </w:rPr>
      </w:pPr>
      <w:r w:rsidRPr="007537A0">
        <w:rPr>
          <w:lang w:val="lt-LT"/>
        </w:rPr>
        <w:t>Remiantis CAM NC, ICA reiškia paskirstymo metodą, kai</w:t>
      </w:r>
      <w:r w:rsidR="00876595">
        <w:rPr>
          <w:lang w:val="lt-LT"/>
        </w:rPr>
        <w:t>,</w:t>
      </w:r>
      <w:r w:rsidRPr="007537A0">
        <w:rPr>
          <w:lang w:val="lt-LT"/>
        </w:rPr>
        <w:t xml:space="preserve"> </w:t>
      </w:r>
      <w:r w:rsidR="00876595">
        <w:rPr>
          <w:lang w:val="lt-LT"/>
        </w:rPr>
        <w:t xml:space="preserve">jei įmanoma </w:t>
      </w:r>
      <w:r w:rsidRPr="007537A0">
        <w:rPr>
          <w:lang w:val="lt-LT"/>
        </w:rPr>
        <w:t>aukciono būdu, vienu metu paskirstomi tiek perdavimo pajėgumai, tiek atitinkamas dujų kiekis (3 straipsnio 8 dalis). Kai taikomi netiesioginiai paskirstymo metodai, nacionalinės reguliavimo institucijos (</w:t>
      </w:r>
      <w:proofErr w:type="spellStart"/>
      <w:r w:rsidRPr="007537A0">
        <w:rPr>
          <w:lang w:val="lt-LT"/>
        </w:rPr>
        <w:t>NR</w:t>
      </w:r>
      <w:r w:rsidR="001A34CC" w:rsidRPr="007537A0">
        <w:rPr>
          <w:lang w:val="lt-LT"/>
        </w:rPr>
        <w:t>As</w:t>
      </w:r>
      <w:proofErr w:type="spellEnd"/>
      <w:r w:rsidRPr="007537A0">
        <w:rPr>
          <w:lang w:val="lt-LT"/>
        </w:rPr>
        <w:t>) gali nuspręsti netaikyti pasirinktų NC CAM reikalavimų rinkinio (2 straipsnio 4 dalis), tokiu būdu leidžiant taikyti įvairius ICA modelius ir konfigūraciją, pritaikytą konkre</w:t>
      </w:r>
      <w:r w:rsidR="00876595">
        <w:rPr>
          <w:lang w:val="lt-LT"/>
        </w:rPr>
        <w:t>čios</w:t>
      </w:r>
      <w:r w:rsidRPr="007537A0">
        <w:rPr>
          <w:lang w:val="lt-LT"/>
        </w:rPr>
        <w:t xml:space="preserve"> rinkos poreikiams.</w:t>
      </w:r>
    </w:p>
    <w:p w14:paraId="1AAEF271" w14:textId="04109279" w:rsidR="00DE3F2D" w:rsidRPr="007537A0" w:rsidRDefault="00DE3F2D" w:rsidP="002C399E">
      <w:pPr>
        <w:jc w:val="both"/>
        <w:rPr>
          <w:lang w:val="lt-LT"/>
        </w:rPr>
      </w:pPr>
    </w:p>
    <w:p w14:paraId="0ACFD8D8" w14:textId="3EFA0C92" w:rsidR="00AA6C93" w:rsidRPr="007537A0" w:rsidRDefault="001A34CC" w:rsidP="002C399E">
      <w:pPr>
        <w:jc w:val="both"/>
        <w:rPr>
          <w:lang w:val="lt-LT"/>
        </w:rPr>
      </w:pPr>
      <w:r w:rsidRPr="007537A0">
        <w:rPr>
          <w:lang w:val="lt-LT"/>
        </w:rPr>
        <w:t>ICA</w:t>
      </w:r>
      <w:r w:rsidR="006E6B87">
        <w:rPr>
          <w:lang w:val="lt-LT"/>
        </w:rPr>
        <w:t>,</w:t>
      </w:r>
      <w:r w:rsidRPr="007537A0">
        <w:rPr>
          <w:lang w:val="lt-LT"/>
        </w:rPr>
        <w:t xml:space="preserve"> </w:t>
      </w:r>
      <w:r w:rsidR="006E6B87" w:rsidRPr="007537A0">
        <w:rPr>
          <w:lang w:val="lt-LT"/>
        </w:rPr>
        <w:t>paskirst</w:t>
      </w:r>
      <w:r w:rsidR="006D225E">
        <w:rPr>
          <w:lang w:val="lt-LT"/>
        </w:rPr>
        <w:t>yti</w:t>
      </w:r>
      <w:r w:rsidR="006E6B87" w:rsidRPr="007537A0">
        <w:rPr>
          <w:lang w:val="lt-LT"/>
        </w:rPr>
        <w:t xml:space="preserve"> </w:t>
      </w:r>
      <w:r w:rsidR="006D225E">
        <w:rPr>
          <w:lang w:val="lt-LT"/>
        </w:rPr>
        <w:t>pajėgumus jungtyse</w:t>
      </w:r>
      <w:r w:rsidR="006E6B87">
        <w:rPr>
          <w:lang w:val="lt-LT"/>
        </w:rPr>
        <w:t>,</w:t>
      </w:r>
      <w:r w:rsidR="006E6B87" w:rsidRPr="007537A0">
        <w:rPr>
          <w:lang w:val="lt-LT"/>
        </w:rPr>
        <w:t xml:space="preserve"> </w:t>
      </w:r>
      <w:r w:rsidRPr="007537A0">
        <w:rPr>
          <w:lang w:val="lt-LT"/>
        </w:rPr>
        <w:t xml:space="preserve">jau naudojama kai kuriose Europos </w:t>
      </w:r>
      <w:r w:rsidR="006E6B87">
        <w:rPr>
          <w:lang w:val="lt-LT"/>
        </w:rPr>
        <w:t>šalyse</w:t>
      </w:r>
      <w:r w:rsidRPr="007537A0">
        <w:rPr>
          <w:lang w:val="lt-LT"/>
        </w:rPr>
        <w:t xml:space="preserve">: IUK (tarp Jungtinės Karalystės ir Belgijos) ir BBL (tarp Jungtinės Karalystės ir Belgijos), kur </w:t>
      </w:r>
      <w:r w:rsidR="006D225E" w:rsidRPr="007537A0">
        <w:rPr>
          <w:lang w:val="lt-LT"/>
        </w:rPr>
        <w:t>naudoj</w:t>
      </w:r>
      <w:r w:rsidR="00876595">
        <w:rPr>
          <w:lang w:val="lt-LT"/>
        </w:rPr>
        <w:t xml:space="preserve">ant </w:t>
      </w:r>
      <w:r w:rsidRPr="007537A0">
        <w:rPr>
          <w:lang w:val="lt-LT"/>
        </w:rPr>
        <w:t xml:space="preserve">ICA pajėgumai </w:t>
      </w:r>
      <w:r w:rsidR="006D225E">
        <w:rPr>
          <w:lang w:val="lt-LT"/>
        </w:rPr>
        <w:t>yra</w:t>
      </w:r>
      <w:r w:rsidR="006D225E" w:rsidRPr="007537A0">
        <w:rPr>
          <w:lang w:val="lt-LT"/>
        </w:rPr>
        <w:t xml:space="preserve"> </w:t>
      </w:r>
      <w:r w:rsidRPr="007537A0">
        <w:rPr>
          <w:lang w:val="lt-LT"/>
        </w:rPr>
        <w:t xml:space="preserve">paskirstomi per brokerius, </w:t>
      </w:r>
      <w:r w:rsidR="006E6B87">
        <w:rPr>
          <w:lang w:val="lt-LT"/>
        </w:rPr>
        <w:t xml:space="preserve">bei </w:t>
      </w:r>
      <w:r w:rsidRPr="007537A0">
        <w:rPr>
          <w:lang w:val="lt-LT"/>
        </w:rPr>
        <w:t xml:space="preserve">Baltijos šalyse ir Suomijoje, kur pajėgumai paskirstomi per regioninę dujų biržą GET Baltic. </w:t>
      </w:r>
      <w:r w:rsidR="006E6B87">
        <w:rPr>
          <w:lang w:val="lt-LT"/>
        </w:rPr>
        <w:t>K</w:t>
      </w:r>
      <w:r w:rsidR="006E6B87" w:rsidRPr="007537A0">
        <w:rPr>
          <w:lang w:val="lt-LT"/>
        </w:rPr>
        <w:t xml:space="preserve">iekvienu </w:t>
      </w:r>
      <w:r w:rsidRPr="007537A0">
        <w:rPr>
          <w:lang w:val="lt-LT"/>
        </w:rPr>
        <w:t xml:space="preserve">atveju </w:t>
      </w:r>
      <w:r w:rsidR="006E6B87">
        <w:rPr>
          <w:lang w:val="lt-LT"/>
        </w:rPr>
        <w:t>t</w:t>
      </w:r>
      <w:r w:rsidR="006E6B87" w:rsidRPr="007537A0">
        <w:rPr>
          <w:lang w:val="lt-LT"/>
        </w:rPr>
        <w:t xml:space="preserve">aikomi ICA modeliai </w:t>
      </w:r>
      <w:r w:rsidRPr="007537A0">
        <w:rPr>
          <w:lang w:val="lt-LT"/>
        </w:rPr>
        <w:t>skiriasi.</w:t>
      </w:r>
      <w:r w:rsidR="00AA6C93" w:rsidRPr="007537A0">
        <w:rPr>
          <w:lang w:val="lt-LT"/>
        </w:rPr>
        <w:t xml:space="preserve"> </w:t>
      </w:r>
    </w:p>
    <w:p w14:paraId="0735CEDA" w14:textId="4B89A885" w:rsidR="00DE3F2D" w:rsidRPr="007537A0" w:rsidRDefault="00DE3F2D" w:rsidP="002C399E">
      <w:pPr>
        <w:jc w:val="both"/>
        <w:rPr>
          <w:lang w:val="lt-LT"/>
        </w:rPr>
      </w:pPr>
    </w:p>
    <w:p w14:paraId="4B7047E1" w14:textId="77777777" w:rsidR="00924336" w:rsidRPr="007537A0" w:rsidRDefault="00924336" w:rsidP="00924336">
      <w:pPr>
        <w:jc w:val="both"/>
        <w:rPr>
          <w:lang w:val="lt-LT"/>
        </w:rPr>
      </w:pPr>
    </w:p>
    <w:p w14:paraId="0E21838F" w14:textId="17001288" w:rsidR="00924336" w:rsidRPr="007537A0" w:rsidRDefault="001A34CC" w:rsidP="00924336">
      <w:pPr>
        <w:jc w:val="both"/>
        <w:rPr>
          <w:b/>
          <w:bCs/>
          <w:lang w:val="lt-LT"/>
        </w:rPr>
      </w:pPr>
      <w:r w:rsidRPr="007537A0">
        <w:rPr>
          <w:b/>
          <w:bCs/>
          <w:lang w:val="lt-LT"/>
        </w:rPr>
        <w:t xml:space="preserve">Pagrindiniai ICA </w:t>
      </w:r>
      <w:r w:rsidR="002535DD">
        <w:rPr>
          <w:b/>
          <w:bCs/>
          <w:lang w:val="lt-LT"/>
        </w:rPr>
        <w:t>bruožai</w:t>
      </w:r>
    </w:p>
    <w:p w14:paraId="1C0DECA6" w14:textId="0CFE65F2" w:rsidR="00924336" w:rsidRPr="007537A0" w:rsidRDefault="001A34CC" w:rsidP="001A34CC">
      <w:pPr>
        <w:pStyle w:val="ListParagraph"/>
        <w:numPr>
          <w:ilvl w:val="0"/>
          <w:numId w:val="3"/>
        </w:numPr>
        <w:jc w:val="both"/>
        <w:rPr>
          <w:lang w:val="lt-LT"/>
        </w:rPr>
      </w:pPr>
      <w:r w:rsidRPr="007537A0">
        <w:rPr>
          <w:lang w:val="lt-LT"/>
        </w:rPr>
        <w:t xml:space="preserve">Tuo pačiu metu turi būti paskirstyti vienodi dujų kiekiai ir pajėgumai - kadangi PSO </w:t>
      </w:r>
      <w:r w:rsidR="00876595">
        <w:rPr>
          <w:lang w:val="lt-LT"/>
        </w:rPr>
        <w:t>siūlo</w:t>
      </w:r>
      <w:r w:rsidRPr="007537A0">
        <w:rPr>
          <w:lang w:val="lt-LT"/>
        </w:rPr>
        <w:t xml:space="preserve"> tik dujų perdavimo pajėgumus ir negali parduoti dujų, todėl turi būti įtraukta trečioji šalis (</w:t>
      </w:r>
      <w:r w:rsidR="00876595">
        <w:rPr>
          <w:lang w:val="lt-LT"/>
        </w:rPr>
        <w:t>brokeris</w:t>
      </w:r>
      <w:r w:rsidRPr="007537A0">
        <w:rPr>
          <w:lang w:val="lt-LT"/>
        </w:rPr>
        <w:t xml:space="preserve"> ar dujų birža).</w:t>
      </w:r>
    </w:p>
    <w:p w14:paraId="1477DFD3" w14:textId="5156601B" w:rsidR="00924336" w:rsidRPr="007537A0" w:rsidRDefault="001A34CC" w:rsidP="001A34CC">
      <w:pPr>
        <w:pStyle w:val="ListParagraph"/>
        <w:numPr>
          <w:ilvl w:val="0"/>
          <w:numId w:val="3"/>
        </w:numPr>
        <w:jc w:val="both"/>
        <w:rPr>
          <w:lang w:val="lt-LT"/>
        </w:rPr>
      </w:pPr>
      <w:r w:rsidRPr="007537A0">
        <w:rPr>
          <w:lang w:val="lt-LT"/>
        </w:rPr>
        <w:t xml:space="preserve">CAM NC suteikia NRA įgaliojimus nuspręsti, </w:t>
      </w:r>
      <w:r w:rsidR="002535DD">
        <w:rPr>
          <w:lang w:val="lt-LT"/>
        </w:rPr>
        <w:t>kuriuos straipsnius taikyti</w:t>
      </w:r>
      <w:r w:rsidR="006D225E">
        <w:rPr>
          <w:lang w:val="lt-LT"/>
        </w:rPr>
        <w:t xml:space="preserve"> </w:t>
      </w:r>
      <w:r w:rsidRPr="007537A0">
        <w:rPr>
          <w:lang w:val="lt-LT"/>
        </w:rPr>
        <w:t xml:space="preserve">- tai suteikia galimybę PSO parodyti, kodėl tam tikri straipsniai </w:t>
      </w:r>
      <w:r w:rsidR="00876595">
        <w:rPr>
          <w:lang w:val="lt-LT"/>
        </w:rPr>
        <w:t>neturi</w:t>
      </w:r>
      <w:r w:rsidR="002535DD">
        <w:rPr>
          <w:lang w:val="lt-LT"/>
        </w:rPr>
        <w:t xml:space="preserve"> </w:t>
      </w:r>
      <w:r w:rsidRPr="007537A0">
        <w:rPr>
          <w:lang w:val="lt-LT"/>
        </w:rPr>
        <w:t xml:space="preserve">būti taikomi ir kokios </w:t>
      </w:r>
      <w:r w:rsidR="002535DD">
        <w:rPr>
          <w:lang w:val="lt-LT"/>
        </w:rPr>
        <w:t xml:space="preserve">taikomos </w:t>
      </w:r>
      <w:r w:rsidRPr="007537A0">
        <w:rPr>
          <w:lang w:val="lt-LT"/>
        </w:rPr>
        <w:t>apsaugos priem</w:t>
      </w:r>
      <w:r w:rsidRPr="00876595">
        <w:rPr>
          <w:lang w:val="lt-LT"/>
        </w:rPr>
        <w:t xml:space="preserve">onės. NRA gali nuspręsti priimti ar atmesti </w:t>
      </w:r>
      <w:r w:rsidR="00876595" w:rsidRPr="00876595">
        <w:rPr>
          <w:lang w:val="lt-LT"/>
        </w:rPr>
        <w:t>pasiūlymus</w:t>
      </w:r>
      <w:r w:rsidR="006D225E" w:rsidRPr="00876595">
        <w:rPr>
          <w:lang w:val="lt-LT"/>
        </w:rPr>
        <w:t xml:space="preserve"> </w:t>
      </w:r>
      <w:r w:rsidRPr="00876595">
        <w:rPr>
          <w:lang w:val="lt-LT"/>
        </w:rPr>
        <w:t xml:space="preserve">ir gali </w:t>
      </w:r>
      <w:r w:rsidR="00876595" w:rsidRPr="00876595">
        <w:rPr>
          <w:lang w:val="lt-LT"/>
        </w:rPr>
        <w:t>nustatyti</w:t>
      </w:r>
      <w:r w:rsidRPr="00876595">
        <w:rPr>
          <w:lang w:val="lt-LT"/>
        </w:rPr>
        <w:t xml:space="preserve"> </w:t>
      </w:r>
      <w:r w:rsidR="002535DD" w:rsidRPr="00876595">
        <w:rPr>
          <w:lang w:val="lt-LT"/>
        </w:rPr>
        <w:t>papildom</w:t>
      </w:r>
      <w:r w:rsidR="00876595" w:rsidRPr="00876595">
        <w:rPr>
          <w:lang w:val="lt-LT"/>
        </w:rPr>
        <w:t>us</w:t>
      </w:r>
      <w:r w:rsidR="002535DD" w:rsidRPr="00876595">
        <w:rPr>
          <w:lang w:val="lt-LT"/>
        </w:rPr>
        <w:t xml:space="preserve"> </w:t>
      </w:r>
      <w:r w:rsidR="00876595" w:rsidRPr="00876595">
        <w:rPr>
          <w:lang w:val="lt-LT"/>
        </w:rPr>
        <w:t>reikalavimus</w:t>
      </w:r>
      <w:r w:rsidRPr="00876595">
        <w:rPr>
          <w:lang w:val="lt-LT"/>
        </w:rPr>
        <w:t>.</w:t>
      </w:r>
    </w:p>
    <w:p w14:paraId="31D19D65" w14:textId="07AD40F2" w:rsidR="001A34CC" w:rsidRPr="007537A0" w:rsidRDefault="001A34CC" w:rsidP="001A34CC">
      <w:pPr>
        <w:pStyle w:val="ListParagraph"/>
        <w:numPr>
          <w:ilvl w:val="0"/>
          <w:numId w:val="3"/>
        </w:numPr>
        <w:jc w:val="both"/>
        <w:rPr>
          <w:lang w:val="lt-LT"/>
        </w:rPr>
      </w:pPr>
      <w:r w:rsidRPr="007537A0">
        <w:rPr>
          <w:lang w:val="lt-LT"/>
        </w:rPr>
        <w:t xml:space="preserve">Toks reguliavimas suteikia lankstumo </w:t>
      </w:r>
      <w:r w:rsidR="00D05ADB">
        <w:rPr>
          <w:lang w:val="lt-LT"/>
        </w:rPr>
        <w:t xml:space="preserve">naudojant ICA </w:t>
      </w:r>
      <w:r w:rsidRPr="007537A0">
        <w:rPr>
          <w:lang w:val="lt-LT"/>
        </w:rPr>
        <w:t>argumentuo</w:t>
      </w:r>
      <w:r w:rsidR="00D05ADB">
        <w:rPr>
          <w:lang w:val="lt-LT"/>
        </w:rPr>
        <w:t>tai taikyti</w:t>
      </w:r>
      <w:r w:rsidR="002535DD">
        <w:rPr>
          <w:lang w:val="lt-LT"/>
        </w:rPr>
        <w:t xml:space="preserve"> skirting</w:t>
      </w:r>
      <w:r w:rsidR="00D05ADB">
        <w:rPr>
          <w:lang w:val="lt-LT"/>
        </w:rPr>
        <w:t xml:space="preserve">us nei standartiniai  </w:t>
      </w:r>
      <w:r w:rsidRPr="007537A0">
        <w:rPr>
          <w:lang w:val="lt-LT"/>
        </w:rPr>
        <w:t>pajėgum</w:t>
      </w:r>
      <w:r w:rsidR="00D05ADB">
        <w:rPr>
          <w:lang w:val="lt-LT"/>
        </w:rPr>
        <w:t>ų</w:t>
      </w:r>
      <w:r w:rsidRPr="007537A0">
        <w:rPr>
          <w:lang w:val="lt-LT"/>
        </w:rPr>
        <w:t xml:space="preserve"> </w:t>
      </w:r>
      <w:r w:rsidR="002535DD" w:rsidRPr="007537A0">
        <w:rPr>
          <w:lang w:val="lt-LT"/>
        </w:rPr>
        <w:t>produkt</w:t>
      </w:r>
      <w:r w:rsidR="00D05ADB">
        <w:rPr>
          <w:lang w:val="lt-LT"/>
        </w:rPr>
        <w:t>us</w:t>
      </w:r>
      <w:r w:rsidRPr="007537A0">
        <w:rPr>
          <w:lang w:val="lt-LT"/>
        </w:rPr>
        <w:t>, ir paskirstyti pajėgumus įvairiais rinkos dalyvių pageidaujamais laikotarpiais.</w:t>
      </w:r>
    </w:p>
    <w:p w14:paraId="55D26084" w14:textId="54943C72" w:rsidR="00924336" w:rsidRPr="007537A0" w:rsidRDefault="00924336" w:rsidP="001A34CC">
      <w:pPr>
        <w:pStyle w:val="ListParagraph"/>
        <w:jc w:val="both"/>
        <w:rPr>
          <w:lang w:val="lt-LT"/>
        </w:rPr>
      </w:pPr>
    </w:p>
    <w:p w14:paraId="10923593" w14:textId="77777777" w:rsidR="00924336" w:rsidRPr="007537A0" w:rsidRDefault="00924336" w:rsidP="00924336">
      <w:pPr>
        <w:jc w:val="both"/>
        <w:rPr>
          <w:lang w:val="lt-LT"/>
        </w:rPr>
      </w:pPr>
    </w:p>
    <w:p w14:paraId="02CD9102" w14:textId="4177DAA7" w:rsidR="00924336" w:rsidRPr="007537A0" w:rsidRDefault="001A34CC" w:rsidP="00924336">
      <w:pPr>
        <w:jc w:val="both"/>
        <w:rPr>
          <w:b/>
          <w:bCs/>
          <w:lang w:val="lt-LT"/>
        </w:rPr>
      </w:pPr>
      <w:r w:rsidRPr="007537A0">
        <w:rPr>
          <w:b/>
          <w:bCs/>
          <w:lang w:val="lt-LT"/>
        </w:rPr>
        <w:t>ICA pranašumai</w:t>
      </w:r>
    </w:p>
    <w:p w14:paraId="20D9CD9E" w14:textId="04B832E7" w:rsidR="007537A0" w:rsidRPr="007537A0" w:rsidRDefault="007537A0" w:rsidP="001A34CC">
      <w:pPr>
        <w:pStyle w:val="ListParagraph"/>
        <w:numPr>
          <w:ilvl w:val="0"/>
          <w:numId w:val="3"/>
        </w:numPr>
        <w:jc w:val="both"/>
        <w:rPr>
          <w:lang w:val="lt-LT"/>
        </w:rPr>
      </w:pPr>
      <w:r w:rsidRPr="007537A0">
        <w:rPr>
          <w:lang w:val="lt-LT"/>
        </w:rPr>
        <w:t xml:space="preserve">Nėra jokio išsamaus apibrėžimo, ką reiškia ICA, išskyrus pajėgumų ir atitinkamo dujų kiekio paskirstymą tuo pačiu metu - tai suteikia </w:t>
      </w:r>
      <w:r w:rsidR="006E456B" w:rsidRPr="007537A0">
        <w:rPr>
          <w:lang w:val="lt-LT"/>
        </w:rPr>
        <w:t>plači</w:t>
      </w:r>
      <w:r w:rsidR="006E456B">
        <w:rPr>
          <w:lang w:val="lt-LT"/>
        </w:rPr>
        <w:t>as</w:t>
      </w:r>
      <w:r w:rsidR="006E456B" w:rsidRPr="007537A0">
        <w:rPr>
          <w:lang w:val="lt-LT"/>
        </w:rPr>
        <w:t xml:space="preserve"> galimyb</w:t>
      </w:r>
      <w:r w:rsidR="006E456B">
        <w:rPr>
          <w:lang w:val="lt-LT"/>
        </w:rPr>
        <w:t>es</w:t>
      </w:r>
      <w:r w:rsidR="006E456B" w:rsidRPr="007537A0">
        <w:rPr>
          <w:lang w:val="lt-LT"/>
        </w:rPr>
        <w:t xml:space="preserve"> </w:t>
      </w:r>
      <w:r w:rsidRPr="007537A0">
        <w:rPr>
          <w:lang w:val="lt-LT"/>
        </w:rPr>
        <w:t xml:space="preserve">PSO ir NRA sukurti mechanizmą, geriausiai atitinkantį specifinius </w:t>
      </w:r>
      <w:r w:rsidR="00D05ADB">
        <w:rPr>
          <w:lang w:val="lt-LT"/>
        </w:rPr>
        <w:t>nacionalinės</w:t>
      </w:r>
      <w:r w:rsidRPr="007537A0">
        <w:rPr>
          <w:lang w:val="lt-LT"/>
        </w:rPr>
        <w:t xml:space="preserve"> rinkos poreikius.</w:t>
      </w:r>
    </w:p>
    <w:p w14:paraId="0C6EACA6" w14:textId="2AA8FF1E" w:rsidR="00924336" w:rsidRPr="007537A0" w:rsidRDefault="007537A0" w:rsidP="001A34CC">
      <w:pPr>
        <w:pStyle w:val="ListParagraph"/>
        <w:numPr>
          <w:ilvl w:val="0"/>
          <w:numId w:val="3"/>
        </w:numPr>
        <w:jc w:val="both"/>
        <w:rPr>
          <w:lang w:val="lt-LT"/>
        </w:rPr>
      </w:pPr>
      <w:r w:rsidRPr="007537A0">
        <w:rPr>
          <w:lang w:val="lt-LT"/>
        </w:rPr>
        <w:t xml:space="preserve">Papildomas pajėgumų paskirstymo kanalas, naudojant ICA, gali padidinti GIPL naudojimo lankstumą, dėl kurio padidės </w:t>
      </w:r>
      <w:r w:rsidR="008A777D">
        <w:rPr>
          <w:lang w:val="lt-LT"/>
        </w:rPr>
        <w:t>transportuojamų</w:t>
      </w:r>
      <w:r w:rsidRPr="007537A0">
        <w:rPr>
          <w:lang w:val="lt-LT"/>
        </w:rPr>
        <w:t xml:space="preserve"> kiekių apimtys ir pagerės Lenkijos ir Baltijos šalių rinkų integracija, įskaitant optimalų rinkos galimybių išnaudojimą, atsirandantį dėl periodiškų abiejų rinkų dujų kainų skirtumų, kuriuos teigiamai veikia dujų kainų konvergencijos procesas ir abiejų rinkų vartotojams suteikiama prieiga prie kuo geresnių dujų kainų tam tikru metu.</w:t>
      </w:r>
    </w:p>
    <w:p w14:paraId="3856021D" w14:textId="1A51B965" w:rsidR="00DE3F2D" w:rsidRPr="007537A0" w:rsidRDefault="007537A0" w:rsidP="007537A0">
      <w:pPr>
        <w:pStyle w:val="ListParagraph"/>
        <w:numPr>
          <w:ilvl w:val="0"/>
          <w:numId w:val="3"/>
        </w:numPr>
        <w:jc w:val="both"/>
        <w:rPr>
          <w:lang w:val="lt-LT"/>
        </w:rPr>
      </w:pPr>
      <w:r w:rsidRPr="007537A0">
        <w:rPr>
          <w:lang w:val="lt-LT"/>
        </w:rPr>
        <w:lastRenderedPageBreak/>
        <w:t>ICA galėtų padidinti rinkos likvidumą ir prit</w:t>
      </w:r>
      <w:r w:rsidR="008A777D">
        <w:rPr>
          <w:lang w:val="lt-LT"/>
        </w:rPr>
        <w:t>raukti</w:t>
      </w:r>
      <w:r w:rsidRPr="007537A0">
        <w:rPr>
          <w:lang w:val="lt-LT"/>
        </w:rPr>
        <w:t xml:space="preserve"> nauj</w:t>
      </w:r>
      <w:r w:rsidR="008A777D">
        <w:rPr>
          <w:lang w:val="lt-LT"/>
        </w:rPr>
        <w:t>ų</w:t>
      </w:r>
      <w:r w:rsidRPr="007537A0">
        <w:rPr>
          <w:lang w:val="lt-LT"/>
        </w:rPr>
        <w:t xml:space="preserve"> </w:t>
      </w:r>
      <w:r w:rsidR="00D05ADB">
        <w:rPr>
          <w:lang w:val="lt-LT"/>
        </w:rPr>
        <w:t>dalyvių</w:t>
      </w:r>
      <w:r w:rsidRPr="007537A0">
        <w:rPr>
          <w:lang w:val="lt-LT"/>
        </w:rPr>
        <w:t xml:space="preserve">, </w:t>
      </w:r>
      <w:r w:rsidR="006E456B">
        <w:rPr>
          <w:lang w:val="lt-LT"/>
        </w:rPr>
        <w:t>kad jie įsigy</w:t>
      </w:r>
      <w:r w:rsidR="00D05ADB">
        <w:rPr>
          <w:lang w:val="lt-LT"/>
        </w:rPr>
        <w:t>tų</w:t>
      </w:r>
      <w:r w:rsidR="006E456B">
        <w:rPr>
          <w:lang w:val="lt-LT"/>
        </w:rPr>
        <w:t xml:space="preserve"> </w:t>
      </w:r>
      <w:r w:rsidR="008A777D">
        <w:rPr>
          <w:lang w:val="lt-LT"/>
        </w:rPr>
        <w:t xml:space="preserve">jų </w:t>
      </w:r>
      <w:r w:rsidR="006E456B">
        <w:rPr>
          <w:lang w:val="lt-LT"/>
        </w:rPr>
        <w:t xml:space="preserve">sandorius atitinkančius </w:t>
      </w:r>
      <w:r w:rsidRPr="007537A0">
        <w:rPr>
          <w:lang w:val="lt-LT"/>
        </w:rPr>
        <w:t>pajėgum</w:t>
      </w:r>
      <w:r w:rsidR="006E456B">
        <w:rPr>
          <w:lang w:val="lt-LT"/>
        </w:rPr>
        <w:t>us</w:t>
      </w:r>
      <w:r w:rsidRPr="007537A0">
        <w:rPr>
          <w:lang w:val="lt-LT"/>
        </w:rPr>
        <w:t>.</w:t>
      </w:r>
    </w:p>
    <w:p w14:paraId="5CE4026D" w14:textId="71F9095B" w:rsidR="00DE3F2D" w:rsidRPr="007537A0" w:rsidRDefault="007537A0" w:rsidP="007537A0">
      <w:pPr>
        <w:pStyle w:val="ListParagraph"/>
        <w:numPr>
          <w:ilvl w:val="0"/>
          <w:numId w:val="3"/>
        </w:numPr>
        <w:jc w:val="both"/>
        <w:rPr>
          <w:lang w:val="lt-LT"/>
        </w:rPr>
      </w:pPr>
      <w:r w:rsidRPr="007537A0">
        <w:rPr>
          <w:lang w:val="lt-LT"/>
        </w:rPr>
        <w:t xml:space="preserve">ICA gali suteikti daugiau galimybių </w:t>
      </w:r>
      <w:r w:rsidR="006E456B">
        <w:rPr>
          <w:lang w:val="lt-LT"/>
        </w:rPr>
        <w:t xml:space="preserve">SGD </w:t>
      </w:r>
      <w:r w:rsidRPr="007537A0">
        <w:rPr>
          <w:lang w:val="lt-LT"/>
        </w:rPr>
        <w:t>import</w:t>
      </w:r>
      <w:r w:rsidR="006E456B">
        <w:rPr>
          <w:lang w:val="lt-LT"/>
        </w:rPr>
        <w:t>ui</w:t>
      </w:r>
      <w:r w:rsidRPr="007537A0">
        <w:rPr>
          <w:lang w:val="lt-LT"/>
        </w:rPr>
        <w:t xml:space="preserve">, nes SGD laivai turi </w:t>
      </w:r>
      <w:r w:rsidR="00D05ADB">
        <w:rPr>
          <w:lang w:val="lt-LT"/>
        </w:rPr>
        <w:t>apribojimų</w:t>
      </w:r>
      <w:r w:rsidRPr="007537A0">
        <w:rPr>
          <w:lang w:val="lt-LT"/>
        </w:rPr>
        <w:t xml:space="preserve"> dėl iš</w:t>
      </w:r>
      <w:r>
        <w:rPr>
          <w:lang w:val="lt-LT"/>
        </w:rPr>
        <w:t>krovimo</w:t>
      </w:r>
      <w:r w:rsidRPr="007537A0">
        <w:rPr>
          <w:lang w:val="lt-LT"/>
        </w:rPr>
        <w:t xml:space="preserve"> laikotarpių, kurių standartiniai pajėgumų produktai gali </w:t>
      </w:r>
      <w:r w:rsidR="00D05ADB">
        <w:rPr>
          <w:lang w:val="lt-LT"/>
        </w:rPr>
        <w:t>ne</w:t>
      </w:r>
      <w:r w:rsidRPr="007537A0">
        <w:rPr>
          <w:lang w:val="lt-LT"/>
        </w:rPr>
        <w:t>atitikti.</w:t>
      </w:r>
    </w:p>
    <w:p w14:paraId="66B41248" w14:textId="647092CD" w:rsidR="00CB3CEE" w:rsidRPr="00EC271B" w:rsidRDefault="007537A0" w:rsidP="00CB3CEE">
      <w:pPr>
        <w:jc w:val="both"/>
        <w:rPr>
          <w:b/>
          <w:bCs/>
          <w:lang w:val="lt-LT"/>
        </w:rPr>
      </w:pPr>
      <w:r w:rsidRPr="00EC271B">
        <w:rPr>
          <w:b/>
          <w:bCs/>
          <w:lang w:val="lt-LT"/>
        </w:rPr>
        <w:t>ICA - modeli</w:t>
      </w:r>
      <w:r w:rsidR="00EC271B" w:rsidRPr="00EC271B">
        <w:rPr>
          <w:b/>
          <w:bCs/>
          <w:lang w:val="lt-LT"/>
        </w:rPr>
        <w:t>o</w:t>
      </w:r>
      <w:r w:rsidRPr="00EC271B">
        <w:rPr>
          <w:b/>
          <w:bCs/>
          <w:lang w:val="lt-LT"/>
        </w:rPr>
        <w:t>, kaip jis gali veikti, pavyzdys:</w:t>
      </w:r>
    </w:p>
    <w:p w14:paraId="7D502020" w14:textId="1B51365B" w:rsidR="00CB3CEE" w:rsidRPr="00C01706" w:rsidRDefault="00EC271B" w:rsidP="00EC271B">
      <w:pPr>
        <w:pStyle w:val="ListParagraph"/>
        <w:numPr>
          <w:ilvl w:val="0"/>
          <w:numId w:val="3"/>
        </w:numPr>
        <w:jc w:val="both"/>
        <w:rPr>
          <w:lang w:val="lt-LT"/>
        </w:rPr>
      </w:pPr>
      <w:r w:rsidRPr="00EC271B">
        <w:rPr>
          <w:lang w:val="lt-LT"/>
        </w:rPr>
        <w:t xml:space="preserve">ICA būtų naujas kanalas, leidžiantis </w:t>
      </w:r>
      <w:r w:rsidR="008478BF">
        <w:rPr>
          <w:lang w:val="lt-LT"/>
        </w:rPr>
        <w:t>su</w:t>
      </w:r>
      <w:r w:rsidRPr="00EC271B">
        <w:rPr>
          <w:lang w:val="lt-LT"/>
        </w:rPr>
        <w:t>jung</w:t>
      </w:r>
      <w:r w:rsidR="008478BF">
        <w:rPr>
          <w:lang w:val="lt-LT"/>
        </w:rPr>
        <w:t>imų</w:t>
      </w:r>
      <w:r w:rsidRPr="00EC271B">
        <w:rPr>
          <w:lang w:val="lt-LT"/>
        </w:rPr>
        <w:t xml:space="preserve"> pajėguma</w:t>
      </w:r>
      <w:r w:rsidR="00D05ADB">
        <w:rPr>
          <w:lang w:val="lt-LT"/>
        </w:rPr>
        <w:t>ms pa</w:t>
      </w:r>
      <w:r w:rsidR="006E456B">
        <w:rPr>
          <w:lang w:val="lt-LT"/>
        </w:rPr>
        <w:t>tekti</w:t>
      </w:r>
      <w:r w:rsidR="006E456B" w:rsidRPr="006E456B">
        <w:rPr>
          <w:lang w:val="lt-LT"/>
        </w:rPr>
        <w:t xml:space="preserve"> į </w:t>
      </w:r>
      <w:r w:rsidR="006E456B" w:rsidRPr="00C01706">
        <w:rPr>
          <w:lang w:val="lt-LT"/>
        </w:rPr>
        <w:t>rinką</w:t>
      </w:r>
      <w:r w:rsidR="001C169F" w:rsidRPr="00C01706">
        <w:rPr>
          <w:lang w:val="lt-LT"/>
        </w:rPr>
        <w:t xml:space="preserve">, </w:t>
      </w:r>
    </w:p>
    <w:p w14:paraId="05ED65FD" w14:textId="1B219779" w:rsidR="00CB3CEE" w:rsidRPr="00C01706" w:rsidRDefault="00EC271B" w:rsidP="00EC271B">
      <w:pPr>
        <w:pStyle w:val="ListParagraph"/>
        <w:numPr>
          <w:ilvl w:val="0"/>
          <w:numId w:val="3"/>
        </w:numPr>
        <w:jc w:val="both"/>
        <w:rPr>
          <w:lang w:val="lt-LT"/>
        </w:rPr>
      </w:pPr>
      <w:r w:rsidRPr="00C01706">
        <w:rPr>
          <w:lang w:val="lt-LT"/>
        </w:rPr>
        <w:t xml:space="preserve">PSO </w:t>
      </w:r>
      <w:r w:rsidR="00D05ADB" w:rsidRPr="00C01706">
        <w:rPr>
          <w:lang w:val="lt-LT"/>
        </w:rPr>
        <w:t xml:space="preserve">prekiaus </w:t>
      </w:r>
      <w:r w:rsidRPr="00C01706">
        <w:rPr>
          <w:lang w:val="lt-LT"/>
        </w:rPr>
        <w:t>susiet</w:t>
      </w:r>
      <w:r w:rsidR="00D120BD" w:rsidRPr="00C01706">
        <w:rPr>
          <w:lang w:val="lt-LT"/>
        </w:rPr>
        <w:t>aisiais</w:t>
      </w:r>
      <w:r w:rsidRPr="00C01706">
        <w:rPr>
          <w:lang w:val="lt-LT"/>
        </w:rPr>
        <w:t xml:space="preserve"> pajėgum</w:t>
      </w:r>
      <w:r w:rsidR="00D05ADB" w:rsidRPr="00C01706">
        <w:rPr>
          <w:lang w:val="lt-LT"/>
        </w:rPr>
        <w:t>ų produktais</w:t>
      </w:r>
      <w:r w:rsidRPr="00C01706">
        <w:rPr>
          <w:lang w:val="lt-LT"/>
        </w:rPr>
        <w:t xml:space="preserve"> per partnerį (-</w:t>
      </w:r>
      <w:proofErr w:type="spellStart"/>
      <w:r w:rsidRPr="00C01706">
        <w:rPr>
          <w:lang w:val="lt-LT"/>
        </w:rPr>
        <w:t>ius</w:t>
      </w:r>
      <w:proofErr w:type="spellEnd"/>
      <w:r w:rsidRPr="00C01706">
        <w:rPr>
          <w:lang w:val="lt-LT"/>
        </w:rPr>
        <w:t xml:space="preserve">), </w:t>
      </w:r>
      <w:r w:rsidR="00D120BD" w:rsidRPr="00C01706">
        <w:rPr>
          <w:lang w:val="lt-LT"/>
        </w:rPr>
        <w:t xml:space="preserve">tai </w:t>
      </w:r>
      <w:r w:rsidRPr="00C01706">
        <w:rPr>
          <w:lang w:val="lt-LT"/>
        </w:rPr>
        <w:t xml:space="preserve">gali būti dujų </w:t>
      </w:r>
      <w:r w:rsidR="00D05ADB" w:rsidRPr="00C01706">
        <w:rPr>
          <w:lang w:val="lt-LT"/>
        </w:rPr>
        <w:t>birž</w:t>
      </w:r>
      <w:r w:rsidR="00C01706" w:rsidRPr="00C01706">
        <w:rPr>
          <w:lang w:val="lt-LT"/>
        </w:rPr>
        <w:t>os veikiančios atitinkamose šalyse</w:t>
      </w:r>
      <w:r w:rsidRPr="00C01706">
        <w:rPr>
          <w:lang w:val="lt-LT"/>
        </w:rPr>
        <w:t xml:space="preserve"> arba </w:t>
      </w:r>
      <w:r w:rsidR="00D05ADB" w:rsidRPr="00C01706">
        <w:rPr>
          <w:lang w:val="lt-LT"/>
        </w:rPr>
        <w:t>brokeriai</w:t>
      </w:r>
      <w:r w:rsidRPr="00C01706">
        <w:rPr>
          <w:lang w:val="lt-LT"/>
        </w:rPr>
        <w:t xml:space="preserve">, </w:t>
      </w:r>
      <w:r w:rsidR="00163C3C" w:rsidRPr="00C01706">
        <w:rPr>
          <w:lang w:val="lt-LT"/>
        </w:rPr>
        <w:t xml:space="preserve">veikiantys </w:t>
      </w:r>
      <w:r w:rsidR="00C01706" w:rsidRPr="00C01706">
        <w:rPr>
          <w:lang w:val="lt-LT"/>
        </w:rPr>
        <w:t>kaip</w:t>
      </w:r>
      <w:r w:rsidR="00163C3C" w:rsidRPr="00C01706">
        <w:rPr>
          <w:lang w:val="lt-LT"/>
        </w:rPr>
        <w:t xml:space="preserve"> </w:t>
      </w:r>
      <w:r w:rsidRPr="00C01706">
        <w:rPr>
          <w:lang w:val="lt-LT"/>
        </w:rPr>
        <w:t xml:space="preserve">prekybos platformas. </w:t>
      </w:r>
    </w:p>
    <w:p w14:paraId="7F6E3FD9" w14:textId="4D6E6D68" w:rsidR="00CB3CEE" w:rsidRPr="00C01706" w:rsidRDefault="00EC271B" w:rsidP="00EC271B">
      <w:pPr>
        <w:pStyle w:val="ListParagraph"/>
        <w:numPr>
          <w:ilvl w:val="0"/>
          <w:numId w:val="3"/>
        </w:numPr>
        <w:jc w:val="both"/>
        <w:rPr>
          <w:lang w:val="lt-LT"/>
        </w:rPr>
      </w:pPr>
      <w:r w:rsidRPr="00C01706">
        <w:rPr>
          <w:lang w:val="lt-LT"/>
        </w:rPr>
        <w:t>Rinkos dalyviai vykdys prekybą dujomis prekybos platformoje bet kuri</w:t>
      </w:r>
      <w:r w:rsidR="00D120BD" w:rsidRPr="00C01706">
        <w:rPr>
          <w:lang w:val="lt-LT"/>
        </w:rPr>
        <w:t>ame</w:t>
      </w:r>
      <w:r w:rsidRPr="00C01706">
        <w:rPr>
          <w:lang w:val="lt-LT"/>
        </w:rPr>
        <w:t xml:space="preserve"> </w:t>
      </w:r>
      <w:r w:rsidR="00C01706" w:rsidRPr="00C01706">
        <w:rPr>
          <w:lang w:val="lt-LT"/>
        </w:rPr>
        <w:t xml:space="preserve">regione </w:t>
      </w:r>
      <w:r w:rsidRPr="00C01706">
        <w:rPr>
          <w:lang w:val="lt-LT"/>
        </w:rPr>
        <w:t>prekybos tašk</w:t>
      </w:r>
      <w:r w:rsidR="00C01706" w:rsidRPr="00C01706">
        <w:rPr>
          <w:lang w:val="lt-LT"/>
        </w:rPr>
        <w:t>e</w:t>
      </w:r>
      <w:r w:rsidR="001E3B4E" w:rsidRPr="00C01706">
        <w:rPr>
          <w:lang w:val="lt-LT"/>
        </w:rPr>
        <w:t xml:space="preserve">, </w:t>
      </w:r>
    </w:p>
    <w:p w14:paraId="439456BA" w14:textId="0C57243D" w:rsidR="00CB3CEE" w:rsidRPr="00C01706" w:rsidRDefault="00EC271B" w:rsidP="00EC271B">
      <w:pPr>
        <w:pStyle w:val="ListParagraph"/>
        <w:numPr>
          <w:ilvl w:val="0"/>
          <w:numId w:val="3"/>
        </w:numPr>
        <w:jc w:val="both"/>
        <w:rPr>
          <w:lang w:val="lt-LT"/>
        </w:rPr>
      </w:pPr>
      <w:r w:rsidRPr="00C01706">
        <w:rPr>
          <w:lang w:val="lt-LT"/>
        </w:rPr>
        <w:t>Rinkos dalyvis tam tikr</w:t>
      </w:r>
      <w:r w:rsidR="00C01706" w:rsidRPr="00C01706">
        <w:rPr>
          <w:lang w:val="lt-LT"/>
        </w:rPr>
        <w:t>am</w:t>
      </w:r>
      <w:r w:rsidRPr="00C01706">
        <w:rPr>
          <w:lang w:val="lt-LT"/>
        </w:rPr>
        <w:t xml:space="preserve"> laikotarp</w:t>
      </w:r>
      <w:r w:rsidR="00C01706" w:rsidRPr="00C01706">
        <w:rPr>
          <w:lang w:val="lt-LT"/>
        </w:rPr>
        <w:t>iui</w:t>
      </w:r>
      <w:r w:rsidRPr="00C01706">
        <w:rPr>
          <w:lang w:val="lt-LT"/>
        </w:rPr>
        <w:t xml:space="preserve"> įgytų </w:t>
      </w:r>
      <w:r w:rsidR="008478BF" w:rsidRPr="00C01706">
        <w:rPr>
          <w:lang w:val="lt-LT"/>
        </w:rPr>
        <w:t>su</w:t>
      </w:r>
      <w:r w:rsidRPr="00C01706">
        <w:rPr>
          <w:lang w:val="lt-LT"/>
        </w:rPr>
        <w:t>jung</w:t>
      </w:r>
      <w:r w:rsidR="008478BF" w:rsidRPr="00C01706">
        <w:rPr>
          <w:lang w:val="lt-LT"/>
        </w:rPr>
        <w:t>im</w:t>
      </w:r>
      <w:r w:rsidR="00C01706" w:rsidRPr="00C01706">
        <w:rPr>
          <w:lang w:val="lt-LT"/>
        </w:rPr>
        <w:t>o taško</w:t>
      </w:r>
      <w:r w:rsidRPr="00C01706">
        <w:rPr>
          <w:lang w:val="lt-LT"/>
        </w:rPr>
        <w:t xml:space="preserve"> pajėgum</w:t>
      </w:r>
      <w:r w:rsidR="00D120BD" w:rsidRPr="00C01706">
        <w:rPr>
          <w:lang w:val="lt-LT"/>
        </w:rPr>
        <w:t>ą</w:t>
      </w:r>
      <w:r w:rsidRPr="00C01706">
        <w:rPr>
          <w:lang w:val="lt-LT"/>
        </w:rPr>
        <w:t xml:space="preserve"> </w:t>
      </w:r>
      <w:r w:rsidR="00C01706" w:rsidRPr="00C01706">
        <w:rPr>
          <w:lang w:val="lt-LT"/>
        </w:rPr>
        <w:t>atitinkantį ir identišką suprekiautam</w:t>
      </w:r>
      <w:r w:rsidRPr="00C01706">
        <w:rPr>
          <w:lang w:val="lt-LT"/>
        </w:rPr>
        <w:t xml:space="preserve"> </w:t>
      </w:r>
      <w:r w:rsidR="00C01706" w:rsidRPr="00C01706">
        <w:rPr>
          <w:lang w:val="lt-LT"/>
        </w:rPr>
        <w:t xml:space="preserve">dujų kiekiui </w:t>
      </w:r>
      <w:r w:rsidRPr="00C01706">
        <w:rPr>
          <w:lang w:val="lt-LT"/>
        </w:rPr>
        <w:t>(suderin</w:t>
      </w:r>
      <w:r w:rsidR="00C01706" w:rsidRPr="00C01706">
        <w:rPr>
          <w:lang w:val="lt-LT"/>
        </w:rPr>
        <w:t>tas</w:t>
      </w:r>
      <w:r w:rsidRPr="00C01706">
        <w:rPr>
          <w:lang w:val="lt-LT"/>
        </w:rPr>
        <w:t xml:space="preserve"> pajėgumų produktas paskirstytas per ICA),</w:t>
      </w:r>
    </w:p>
    <w:p w14:paraId="2CCFF0D1" w14:textId="1E4722DC" w:rsidR="00CB3CEE" w:rsidRPr="00EC271B" w:rsidRDefault="00EC271B" w:rsidP="00EC271B">
      <w:pPr>
        <w:pStyle w:val="ListParagraph"/>
        <w:numPr>
          <w:ilvl w:val="0"/>
          <w:numId w:val="3"/>
        </w:numPr>
        <w:jc w:val="both"/>
        <w:rPr>
          <w:lang w:val="lt-LT"/>
        </w:rPr>
      </w:pPr>
      <w:r w:rsidRPr="00EC271B">
        <w:rPr>
          <w:lang w:val="lt-LT"/>
        </w:rPr>
        <w:t>Prekybos platformos administratorius informuotų PSO apie sandorį</w:t>
      </w:r>
      <w:r w:rsidR="001E3B4E" w:rsidRPr="00EC271B">
        <w:rPr>
          <w:lang w:val="lt-LT"/>
        </w:rPr>
        <w:t xml:space="preserve">, </w:t>
      </w:r>
    </w:p>
    <w:p w14:paraId="40565433" w14:textId="2DC9EA0C" w:rsidR="00CB3CEE" w:rsidRPr="00EC271B" w:rsidRDefault="00EC271B" w:rsidP="00EC271B">
      <w:pPr>
        <w:pStyle w:val="ListParagraph"/>
        <w:numPr>
          <w:ilvl w:val="0"/>
          <w:numId w:val="3"/>
        </w:numPr>
        <w:jc w:val="both"/>
        <w:rPr>
          <w:lang w:val="lt-LT"/>
        </w:rPr>
      </w:pPr>
      <w:r w:rsidRPr="00EC271B">
        <w:rPr>
          <w:lang w:val="lt-LT"/>
        </w:rPr>
        <w:t>Rinkos dalyvis</w:t>
      </w:r>
      <w:r w:rsidR="00C01706">
        <w:rPr>
          <w:lang w:val="lt-LT"/>
        </w:rPr>
        <w:t xml:space="preserve">, tam kad pasinaudoti </w:t>
      </w:r>
      <w:r w:rsidR="00C01706" w:rsidRPr="00EC271B">
        <w:rPr>
          <w:lang w:val="lt-LT"/>
        </w:rPr>
        <w:t>pajėgum</w:t>
      </w:r>
      <w:r w:rsidR="00C01706">
        <w:rPr>
          <w:lang w:val="lt-LT"/>
        </w:rPr>
        <w:t>ais,</w:t>
      </w:r>
      <w:r w:rsidR="00C01706" w:rsidRPr="00EC271B">
        <w:rPr>
          <w:lang w:val="lt-LT"/>
        </w:rPr>
        <w:t xml:space="preserve"> </w:t>
      </w:r>
      <w:r w:rsidR="00C01706">
        <w:rPr>
          <w:lang w:val="lt-LT"/>
        </w:rPr>
        <w:t xml:space="preserve">kiekio paraiškas pateiks </w:t>
      </w:r>
      <w:r w:rsidR="00C01706" w:rsidRPr="00EC271B">
        <w:rPr>
          <w:lang w:val="lt-LT"/>
        </w:rPr>
        <w:t>įpras</w:t>
      </w:r>
      <w:r w:rsidR="00C01706">
        <w:rPr>
          <w:lang w:val="lt-LT"/>
        </w:rPr>
        <w:t>ta tvarka</w:t>
      </w:r>
      <w:r w:rsidR="001E3B4E" w:rsidRPr="00EC271B">
        <w:rPr>
          <w:lang w:val="lt-LT"/>
        </w:rPr>
        <w:t xml:space="preserve">. </w:t>
      </w:r>
    </w:p>
    <w:p w14:paraId="6B9273E8" w14:textId="77777777" w:rsidR="00CB3CEE" w:rsidRPr="006E6B87" w:rsidRDefault="00CB3CEE">
      <w:pPr>
        <w:jc w:val="both"/>
        <w:rPr>
          <w:lang w:val="lt-LT"/>
        </w:rPr>
      </w:pPr>
    </w:p>
    <w:sectPr w:rsidR="00CB3CEE" w:rsidRPr="006E6B87">
      <w:footerReference w:type="default" r:id="rId8"/>
      <w:pgSz w:w="11906" w:h="16838"/>
      <w:pgMar w:top="1701"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194A" w16cex:dateUtc="2020-10-29T08:34:00Z"/>
  <w16cex:commentExtensible w16cex:durableId="23451EFF" w16cex:dateUtc="2020-10-29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70FC" w14:textId="77777777" w:rsidR="00DF5C1D" w:rsidRDefault="00DF5C1D" w:rsidP="000B1A7E">
      <w:pPr>
        <w:spacing w:after="0" w:line="240" w:lineRule="auto"/>
      </w:pPr>
      <w:r>
        <w:separator/>
      </w:r>
    </w:p>
  </w:endnote>
  <w:endnote w:type="continuationSeparator" w:id="0">
    <w:p w14:paraId="503339ED" w14:textId="77777777" w:rsidR="00DF5C1D" w:rsidRDefault="00DF5C1D" w:rsidP="000B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028595"/>
      <w:docPartObj>
        <w:docPartGallery w:val="Page Numbers (Bottom of Page)"/>
        <w:docPartUnique/>
      </w:docPartObj>
    </w:sdtPr>
    <w:sdtEndPr/>
    <w:sdtContent>
      <w:p w14:paraId="6850A958" w14:textId="5FBFA273" w:rsidR="00347A8C" w:rsidRDefault="00347A8C">
        <w:pPr>
          <w:pStyle w:val="Footer"/>
          <w:jc w:val="right"/>
        </w:pPr>
        <w:r>
          <w:fldChar w:fldCharType="begin"/>
        </w:r>
        <w:r>
          <w:instrText>PAGE   \* MERGEFORMAT</w:instrText>
        </w:r>
        <w:r>
          <w:fldChar w:fldCharType="separate"/>
        </w:r>
        <w:r>
          <w:rPr>
            <w:lang w:val="lt-LT"/>
          </w:rPr>
          <w:t>2</w:t>
        </w:r>
        <w:r>
          <w:fldChar w:fldCharType="end"/>
        </w:r>
      </w:p>
    </w:sdtContent>
  </w:sdt>
  <w:p w14:paraId="68132B3B" w14:textId="77777777" w:rsidR="00347A8C" w:rsidRDefault="0034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DC2E" w14:textId="77777777" w:rsidR="00DF5C1D" w:rsidRDefault="00DF5C1D" w:rsidP="000B1A7E">
      <w:pPr>
        <w:spacing w:after="0" w:line="240" w:lineRule="auto"/>
      </w:pPr>
      <w:r>
        <w:separator/>
      </w:r>
    </w:p>
  </w:footnote>
  <w:footnote w:type="continuationSeparator" w:id="0">
    <w:p w14:paraId="7B8F8B48" w14:textId="77777777" w:rsidR="00DF5C1D" w:rsidRDefault="00DF5C1D" w:rsidP="000B1A7E">
      <w:pPr>
        <w:spacing w:after="0" w:line="240" w:lineRule="auto"/>
      </w:pPr>
      <w:r>
        <w:continuationSeparator/>
      </w:r>
    </w:p>
  </w:footnote>
  <w:footnote w:id="1">
    <w:p w14:paraId="15FC89A6" w14:textId="7AF4A36A" w:rsidR="00347A8C" w:rsidRPr="00B663E9" w:rsidRDefault="00347A8C">
      <w:pPr>
        <w:pStyle w:val="FootnoteText"/>
        <w:rPr>
          <w:lang w:val="lt-LT"/>
        </w:rPr>
      </w:pPr>
      <w:r>
        <w:rPr>
          <w:rStyle w:val="FootnoteReference"/>
        </w:rPr>
        <w:footnoteRef/>
      </w:r>
      <w:r>
        <w:t xml:space="preserve"> </w:t>
      </w:r>
      <w:hyperlink r:id="rId1" w:history="1">
        <w:r w:rsidR="007537A0" w:rsidRPr="007537A0">
          <w:rPr>
            <w:rStyle w:val="Hyperlink"/>
            <w:lang w:val="lt-LT"/>
          </w:rPr>
          <w:t>2017 m. Kovo 16 d. Komisijos reglamentas (ES) 2017/459, kuriuo nustatomas dujų perdavimo sistemų pajėgumų paskirstymo mechanizmų tinklo kodeksas ir panaikinamas Reglamentas (ES) Nr. 984/2013</w:t>
        </w:r>
      </w:hyperlink>
      <w:r w:rsidR="007537A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63B"/>
    <w:multiLevelType w:val="hybridMultilevel"/>
    <w:tmpl w:val="453A4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5E49DA"/>
    <w:multiLevelType w:val="hybridMultilevel"/>
    <w:tmpl w:val="E24AA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D72008"/>
    <w:multiLevelType w:val="hybridMultilevel"/>
    <w:tmpl w:val="18B4F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9A22B9"/>
    <w:multiLevelType w:val="hybridMultilevel"/>
    <w:tmpl w:val="28942DB4"/>
    <w:lvl w:ilvl="0" w:tplc="9D80AFE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ED128E"/>
    <w:multiLevelType w:val="hybridMultilevel"/>
    <w:tmpl w:val="0D64F814"/>
    <w:lvl w:ilvl="0" w:tplc="04150001">
      <w:start w:val="1"/>
      <w:numFmt w:val="bullet"/>
      <w:lvlText w:val=""/>
      <w:lvlJc w:val="left"/>
      <w:pPr>
        <w:ind w:left="720" w:hanging="360"/>
      </w:pPr>
      <w:rPr>
        <w:rFonts w:ascii="Symbol" w:hAnsi="Symbol" w:hint="default"/>
      </w:rPr>
    </w:lvl>
    <w:lvl w:ilvl="1" w:tplc="9A38FF5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DC"/>
    <w:rsid w:val="00001391"/>
    <w:rsid w:val="000160AA"/>
    <w:rsid w:val="000B1A7E"/>
    <w:rsid w:val="00163C3C"/>
    <w:rsid w:val="00164493"/>
    <w:rsid w:val="001A34CC"/>
    <w:rsid w:val="001B52D7"/>
    <w:rsid w:val="001C169F"/>
    <w:rsid w:val="001E3B4E"/>
    <w:rsid w:val="00230FC7"/>
    <w:rsid w:val="002348E0"/>
    <w:rsid w:val="002535DD"/>
    <w:rsid w:val="002A3B85"/>
    <w:rsid w:val="002C399E"/>
    <w:rsid w:val="00343BD5"/>
    <w:rsid w:val="00347A8C"/>
    <w:rsid w:val="003D3550"/>
    <w:rsid w:val="00474B35"/>
    <w:rsid w:val="004B0C89"/>
    <w:rsid w:val="006D225E"/>
    <w:rsid w:val="006E456B"/>
    <w:rsid w:val="006E6B87"/>
    <w:rsid w:val="00741B6D"/>
    <w:rsid w:val="007537A0"/>
    <w:rsid w:val="007D0725"/>
    <w:rsid w:val="007E2D06"/>
    <w:rsid w:val="008478BF"/>
    <w:rsid w:val="00876595"/>
    <w:rsid w:val="008A777D"/>
    <w:rsid w:val="008C6F7A"/>
    <w:rsid w:val="00924336"/>
    <w:rsid w:val="0098222D"/>
    <w:rsid w:val="00A74BCA"/>
    <w:rsid w:val="00AA6C93"/>
    <w:rsid w:val="00B318DC"/>
    <w:rsid w:val="00B37E27"/>
    <w:rsid w:val="00B663E9"/>
    <w:rsid w:val="00BD3E44"/>
    <w:rsid w:val="00C01706"/>
    <w:rsid w:val="00C302AB"/>
    <w:rsid w:val="00CB3CEE"/>
    <w:rsid w:val="00D05ADB"/>
    <w:rsid w:val="00D07022"/>
    <w:rsid w:val="00D120BD"/>
    <w:rsid w:val="00D53F67"/>
    <w:rsid w:val="00D77EDB"/>
    <w:rsid w:val="00DE3F2D"/>
    <w:rsid w:val="00DF5C1D"/>
    <w:rsid w:val="00E0561D"/>
    <w:rsid w:val="00E62EAA"/>
    <w:rsid w:val="00EA1BFC"/>
    <w:rsid w:val="00EC271B"/>
    <w:rsid w:val="00FB36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26AA"/>
  <w15:chartTrackingRefBased/>
  <w15:docId w15:val="{FF274DF1-72B1-415E-80A0-C160CEF6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8DC"/>
    <w:pPr>
      <w:spacing w:after="40"/>
    </w:pPr>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DC"/>
    <w:rPr>
      <w:rFonts w:ascii="Segoe UI" w:hAnsi="Segoe UI" w:cs="Segoe UI"/>
      <w:sz w:val="18"/>
      <w:szCs w:val="18"/>
      <w:lang w:val="en-GB" w:eastAsia="en-GB" w:bidi="en-GB"/>
    </w:rPr>
  </w:style>
  <w:style w:type="character" w:styleId="CommentReference">
    <w:name w:val="annotation reference"/>
    <w:basedOn w:val="DefaultParagraphFont"/>
    <w:uiPriority w:val="99"/>
    <w:semiHidden/>
    <w:unhideWhenUsed/>
    <w:rsid w:val="00741B6D"/>
    <w:rPr>
      <w:sz w:val="16"/>
      <w:szCs w:val="16"/>
    </w:rPr>
  </w:style>
  <w:style w:type="paragraph" w:styleId="CommentText">
    <w:name w:val="annotation text"/>
    <w:basedOn w:val="Normal"/>
    <w:link w:val="CommentTextChar"/>
    <w:uiPriority w:val="99"/>
    <w:semiHidden/>
    <w:unhideWhenUsed/>
    <w:rsid w:val="00741B6D"/>
    <w:pPr>
      <w:spacing w:line="240" w:lineRule="auto"/>
    </w:pPr>
    <w:rPr>
      <w:sz w:val="20"/>
      <w:szCs w:val="20"/>
    </w:rPr>
  </w:style>
  <w:style w:type="character" w:customStyle="1" w:styleId="CommentTextChar">
    <w:name w:val="Comment Text Char"/>
    <w:basedOn w:val="DefaultParagraphFont"/>
    <w:link w:val="CommentText"/>
    <w:uiPriority w:val="99"/>
    <w:semiHidden/>
    <w:rsid w:val="00741B6D"/>
    <w:rPr>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41B6D"/>
    <w:rPr>
      <w:b/>
      <w:bCs/>
    </w:rPr>
  </w:style>
  <w:style w:type="character" w:customStyle="1" w:styleId="CommentSubjectChar">
    <w:name w:val="Comment Subject Char"/>
    <w:basedOn w:val="CommentTextChar"/>
    <w:link w:val="CommentSubject"/>
    <w:uiPriority w:val="99"/>
    <w:semiHidden/>
    <w:rsid w:val="00741B6D"/>
    <w:rPr>
      <w:b/>
      <w:bCs/>
      <w:sz w:val="20"/>
      <w:szCs w:val="20"/>
      <w:lang w:val="en-GB" w:eastAsia="en-GB" w:bidi="en-GB"/>
    </w:rPr>
  </w:style>
  <w:style w:type="paragraph" w:styleId="Header">
    <w:name w:val="header"/>
    <w:basedOn w:val="Normal"/>
    <w:link w:val="HeaderChar"/>
    <w:uiPriority w:val="99"/>
    <w:unhideWhenUsed/>
    <w:rsid w:val="000B1A7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B1A7E"/>
    <w:rPr>
      <w:lang w:val="en-GB" w:eastAsia="en-GB" w:bidi="en-GB"/>
    </w:rPr>
  </w:style>
  <w:style w:type="paragraph" w:styleId="Footer">
    <w:name w:val="footer"/>
    <w:basedOn w:val="Normal"/>
    <w:link w:val="FooterChar"/>
    <w:uiPriority w:val="99"/>
    <w:unhideWhenUsed/>
    <w:rsid w:val="000B1A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B1A7E"/>
    <w:rPr>
      <w:lang w:val="en-GB" w:eastAsia="en-GB" w:bidi="en-GB"/>
    </w:rPr>
  </w:style>
  <w:style w:type="paragraph" w:styleId="FootnoteText">
    <w:name w:val="footnote text"/>
    <w:basedOn w:val="Normal"/>
    <w:link w:val="FootnoteTextChar"/>
    <w:uiPriority w:val="99"/>
    <w:semiHidden/>
    <w:unhideWhenUsed/>
    <w:rsid w:val="00B66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3E9"/>
    <w:rPr>
      <w:sz w:val="20"/>
      <w:szCs w:val="20"/>
      <w:lang w:val="en-GB" w:eastAsia="en-GB" w:bidi="en-GB"/>
    </w:rPr>
  </w:style>
  <w:style w:type="character" w:styleId="FootnoteReference">
    <w:name w:val="footnote reference"/>
    <w:basedOn w:val="DefaultParagraphFont"/>
    <w:uiPriority w:val="99"/>
    <w:semiHidden/>
    <w:unhideWhenUsed/>
    <w:rsid w:val="00B663E9"/>
    <w:rPr>
      <w:vertAlign w:val="superscript"/>
    </w:rPr>
  </w:style>
  <w:style w:type="character" w:styleId="Hyperlink">
    <w:name w:val="Hyperlink"/>
    <w:basedOn w:val="DefaultParagraphFont"/>
    <w:uiPriority w:val="99"/>
    <w:unhideWhenUsed/>
    <w:rsid w:val="00B663E9"/>
    <w:rPr>
      <w:color w:val="0563C1" w:themeColor="hyperlink"/>
      <w:u w:val="single"/>
    </w:rPr>
  </w:style>
  <w:style w:type="character" w:styleId="UnresolvedMention">
    <w:name w:val="Unresolved Mention"/>
    <w:basedOn w:val="DefaultParagraphFont"/>
    <w:uiPriority w:val="99"/>
    <w:semiHidden/>
    <w:unhideWhenUsed/>
    <w:rsid w:val="00B663E9"/>
    <w:rPr>
      <w:color w:val="605E5C"/>
      <w:shd w:val="clear" w:color="auto" w:fill="E1DFDD"/>
    </w:rPr>
  </w:style>
  <w:style w:type="character" w:styleId="FollowedHyperlink">
    <w:name w:val="FollowedHyperlink"/>
    <w:basedOn w:val="DefaultParagraphFont"/>
    <w:uiPriority w:val="99"/>
    <w:semiHidden/>
    <w:unhideWhenUsed/>
    <w:rsid w:val="00B663E9"/>
    <w:rPr>
      <w:color w:val="954F72" w:themeColor="followedHyperlink"/>
      <w:u w:val="single"/>
    </w:rPr>
  </w:style>
  <w:style w:type="paragraph" w:styleId="ListParagraph">
    <w:name w:val="List Paragraph"/>
    <w:basedOn w:val="Normal"/>
    <w:uiPriority w:val="34"/>
    <w:qFormat/>
    <w:rsid w:val="00D5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T/TXT/PDF/?uri=CELEX:32017R0459&amp;fro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AA83-C129-4E24-8DE5-8E12A24C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2360</Words>
  <Characters>1346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Beržanskis</dc:creator>
  <cp:keywords/>
  <dc:description/>
  <cp:lastModifiedBy>Laima Kavalskienė</cp:lastModifiedBy>
  <cp:revision>2</cp:revision>
  <dcterms:created xsi:type="dcterms:W3CDTF">2020-11-03T17:40:00Z</dcterms:created>
  <dcterms:modified xsi:type="dcterms:W3CDTF">2020-11-03T17:40:00Z</dcterms:modified>
</cp:coreProperties>
</file>